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  <w:r>
        <w:rPr>
          <w:rFonts w:ascii="方正大标宋简体" w:hAnsi="Times New Roman" w:eastAsia="方正大标宋简体" w:cs="Times New Roman"/>
          <w:kern w:val="2"/>
          <w:sz w:val="56"/>
          <w:szCs w:val="72"/>
          <w:lang w:val="en-US" w:eastAsia="zh-CN" w:bidi="ar-SA"/>
        </w:rPr>
        <w:pict>
          <v:shape id="_x0000_s1834" o:spid="_x0000_s1030" type="#_x0000_t202" style="position:absolute;left:0;margin-left:-23.75pt;margin-top:10.45pt;height:70.85pt;width:467.7pt;rotation:0f;z-index:-251652096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7972"/>
      <w:bookmarkStart w:id="1" w:name="_Toc456185457"/>
      <w:r>
        <w:rPr>
          <w:rFonts w:hint="eastAsia" w:ascii="方正大标宋简体" w:eastAsia="方正大标宋简体"/>
          <w:sz w:val="56"/>
          <w:szCs w:val="72"/>
        </w:rPr>
        <w:t>七、城市建设、环境保护</w:t>
      </w:r>
      <w:bookmarkEnd w:id="0"/>
      <w:bookmarkEnd w:id="1"/>
    </w:p>
    <w:p/>
    <w:p/>
    <w:p/>
    <w:p/>
    <w:p/>
    <w:p/>
    <w:p/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rPr>
          <w:rFonts w:ascii="黑体"/>
        </w:rPr>
      </w:pPr>
      <w:bookmarkStart w:id="2" w:name="_Toc424197973"/>
      <w:bookmarkStart w:id="3" w:name="_Toc425143973"/>
      <w:bookmarkStart w:id="4" w:name="_Toc456185458"/>
      <w:r>
        <w:rPr>
          <w:rFonts w:hint="eastAsia" w:ascii="黑体"/>
        </w:rPr>
        <w:t>公路市政设施、园林绿化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1470"/>
        <w:gridCol w:w="1995"/>
        <w:gridCol w:w="1805"/>
        <w:gridCol w:w="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7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9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1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一、公路、市政设施情况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实有道路长度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657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市政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公路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车行道面积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993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人行道面积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桥梁座数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486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城市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公路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345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排水管道长度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二、园林绿化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绿地面积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5183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绿化覆盖率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43.0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公共绿地面积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2306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人均公共绿地面积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11.3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公园数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87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公园面积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323</w:t>
            </w:r>
          </w:p>
        </w:tc>
        <w:tc>
          <w:tcPr>
            <w:tcW w:w="18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242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 w:cs="宋体"/>
                <w:szCs w:val="21"/>
              </w:rPr>
            </w:pPr>
            <w:r>
              <w:rPr>
                <w:rFonts w:hint="eastAsia" w:eastAsia="楷体_GB2312"/>
                <w:szCs w:val="21"/>
              </w:rPr>
              <w:t>注：本表由区建设交通委和区绿化市容局提供。人均公共绿地面积2015年起按常住人口计算。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5" w:name="_Toc424197974"/>
      <w:bookmarkStart w:id="6" w:name="_Toc425143974"/>
      <w:bookmarkStart w:id="7" w:name="_Toc456185459"/>
      <w:r>
        <w:rPr>
          <w:rFonts w:hint="eastAsia" w:ascii="黑体"/>
        </w:rPr>
        <w:t>环  境  卫  生</w:t>
      </w:r>
      <w:bookmarkEnd w:id="5"/>
      <w:bookmarkEnd w:id="6"/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4"/>
        <w:gridCol w:w="1575"/>
        <w:gridCol w:w="1890"/>
        <w:gridCol w:w="493"/>
        <w:gridCol w:w="1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2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7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9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5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一、粪便清运总量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15.33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16.40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二、生活垃圾清运总量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62.80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57.41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居民生活垃圾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56.80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53.62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三、生活垃圾处理量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62.80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57.41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无害化处理量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56.80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53.62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四、生活垃圾无害化处理率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五、建筑垃圾清运量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34.20 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26.96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六、环卫设施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公共厕所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蓄化粪池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只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废物箱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只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5357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垃圾房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只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2836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垃圾筒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只</w:t>
            </w: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9144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92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拉臂箱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只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549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注：本表由区绿化市容局提供。</w:t>
            </w:r>
          </w:p>
        </w:tc>
        <w:tc>
          <w:tcPr>
            <w:tcW w:w="2383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8" w:name="_Toc424197975"/>
      <w:bookmarkStart w:id="9" w:name="_Toc425143975"/>
      <w:bookmarkStart w:id="10" w:name="_Toc456185460"/>
      <w:r>
        <w:rPr>
          <w:rFonts w:hint="eastAsia" w:ascii="黑体"/>
        </w:rPr>
        <w:t>“ 三 废 ” 排</w:t>
      </w:r>
      <w:bookmarkEnd w:id="8"/>
      <w:bookmarkEnd w:id="9"/>
      <w:bookmarkEnd w:id="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1657"/>
        <w:gridCol w:w="1838"/>
        <w:gridCol w:w="18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0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5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3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一、废水排放总量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19322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19434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工业废水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4916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生活污水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14406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14418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排入污水处理厂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14680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14680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  #</w:t>
            </w:r>
            <w:r>
              <w:rPr>
                <w:rFonts w:hint="eastAsia"/>
                <w:szCs w:val="21"/>
              </w:rPr>
              <w:t>工业废水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2728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生活污水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11952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11952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二、废水化学需氧量排放总量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13504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15542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工业废水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1213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生活污水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11509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13318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三、废水中氨氮排放量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3166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3323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工业废水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45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生活污水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3073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四、废水处理总量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50306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51921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工业废水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38354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39969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生活污水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11952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11952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五、工业重复用水量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505501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533470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六、水环境保护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工业废水治理设施数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169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废水处理设施运行费用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44240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工业废水化学需氧量去除量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64942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59134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工业废水氨氮去除量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634 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90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城市生活污水处理率</w:t>
            </w:r>
          </w:p>
        </w:tc>
        <w:tc>
          <w:tcPr>
            <w:tcW w:w="1657" w:type="dxa"/>
            <w:tcBorders>
              <w:top w:val="nil"/>
              <w:left w:val="nil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38" w:type="dxa"/>
            <w:tcBorders>
              <w:top w:val="nil"/>
              <w:left w:val="single" w:color="auto" w:sz="6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88.0 </w:t>
            </w:r>
          </w:p>
        </w:tc>
        <w:tc>
          <w:tcPr>
            <w:tcW w:w="18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565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</w:t>
            </w:r>
            <w:r>
              <w:rPr>
                <w:rFonts w:hint="eastAsia" w:eastAsia="楷体_GB2312"/>
                <w:kern w:val="0"/>
                <w:szCs w:val="21"/>
              </w:rPr>
              <w:t>200</w:t>
            </w:r>
            <w:r>
              <w:rPr>
                <w:rFonts w:eastAsia="楷体_GB2312"/>
                <w:kern w:val="0"/>
                <w:szCs w:val="21"/>
              </w:rPr>
              <w:t>—P</w:t>
            </w:r>
            <w:r>
              <w:rPr>
                <w:rFonts w:hint="eastAsia" w:eastAsia="楷体_GB2312"/>
                <w:kern w:val="0"/>
                <w:szCs w:val="21"/>
              </w:rPr>
              <w:t>203</w:t>
            </w:r>
            <w:r>
              <w:rPr>
                <w:rFonts w:hint="eastAsia" w:eastAsia="楷体_GB2312" w:cs="宋体"/>
                <w:kern w:val="0"/>
                <w:szCs w:val="21"/>
              </w:rPr>
              <w:t>由区环保局提供。</w:t>
            </w:r>
          </w:p>
        </w:tc>
        <w:tc>
          <w:tcPr>
            <w:tcW w:w="18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3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1" w:name="_Toc423699777"/>
      <w:bookmarkStart w:id="12" w:name="_Toc424197976"/>
      <w:bookmarkStart w:id="13" w:name="_Toc425143976"/>
      <w:bookmarkStart w:id="14" w:name="_Toc425427591"/>
      <w:bookmarkStart w:id="15" w:name="_Toc456185461"/>
      <w:r>
        <w:rPr>
          <w:rFonts w:hint="eastAsia" w:ascii="黑体"/>
        </w:rPr>
        <w:t>放 及 处 理</w:t>
      </w:r>
      <w:bookmarkEnd w:id="11"/>
      <w:bookmarkEnd w:id="12"/>
      <w:bookmarkEnd w:id="13"/>
      <w:bookmarkEnd w:id="14"/>
      <w:bookmarkEnd w:id="1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0"/>
        <w:gridCol w:w="1652"/>
        <w:gridCol w:w="1840"/>
        <w:gridCol w:w="1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5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污水处理厂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污水处理能力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万立方米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天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46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七、工业废气及其污染排放情况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工业废气排放量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亿标立方米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6622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工业煤耗量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工业二氧化硫排放量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23887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工业氮氧化物排放量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46133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95766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工业烟(粉)尘排放量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77858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八、大气环境保护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废气治理设施数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废气设施运行费用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158665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工业二氧化硫去除量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129470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工业氮氧化物去除量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44927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工业烟(粉)尘去除量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2612505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2695671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九、工业固体废物防治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工业固体废物产生量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1241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工业固体废物综合利用量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1234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工业固体废物处置量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6.2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工业固体废物综合利用率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99.5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危险废物生产量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危险废物综合利用量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9.0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危险废物处置量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万吨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1.5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危险废物综合利用率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85.7 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53.1 </w:t>
            </w:r>
          </w:p>
        </w:tc>
      </w:tr>
    </w:tbl>
    <w:p/>
    <w:p/>
    <w:p>
      <w:pPr>
        <w:pStyle w:val="2"/>
        <w:spacing w:before="0" w:after="0"/>
        <w:rPr>
          <w:rFonts w:ascii="黑体"/>
        </w:rPr>
      </w:pPr>
      <w:bookmarkStart w:id="16" w:name="_Toc424197977"/>
      <w:bookmarkStart w:id="17" w:name="_Toc425143977"/>
      <w:bookmarkStart w:id="18" w:name="_Toc456185462"/>
      <w:r>
        <w:rPr>
          <w:rFonts w:hint="eastAsia" w:ascii="黑体"/>
        </w:rPr>
        <w:t>环保管理及环保投资</w:t>
      </w:r>
      <w:bookmarkEnd w:id="16"/>
      <w:bookmarkEnd w:id="17"/>
      <w:bookmarkEnd w:id="1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9"/>
        <w:gridCol w:w="1512"/>
        <w:gridCol w:w="1810"/>
        <w:gridCol w:w="18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0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1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1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一、环境保护机构总数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二、从业人员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监测人员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监理人员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三、建设项目环境影响评价制度执行率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四、建设项目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三同时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执行率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五、建设项目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三同时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合格率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六、交纳排污费单位数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446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七、排污费收入总额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614.71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八、环境投资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环境保护投资总额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452385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470048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城市环境基础设施建设投资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73814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114802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污染源治理投资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361692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29532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环境能力建设投资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480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生态建设投资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15014 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8300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10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其他投资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1386 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316661 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9" w:name="_Toc424197978"/>
      <w:bookmarkStart w:id="20" w:name="_Toc425143978"/>
      <w:bookmarkStart w:id="21" w:name="_Toc456185463"/>
      <w:r>
        <w:rPr>
          <w:rFonts w:hint="eastAsia" w:ascii="黑体"/>
        </w:rPr>
        <w:t>环  境  质  量</w:t>
      </w:r>
      <w:bookmarkEnd w:id="19"/>
      <w:bookmarkEnd w:id="20"/>
      <w:bookmarkEnd w:id="21"/>
    </w:p>
    <w:tbl>
      <w:tblPr>
        <w:tblW w:w="94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1746"/>
        <w:gridCol w:w="1876"/>
        <w:gridCol w:w="17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0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标</w:t>
            </w:r>
          </w:p>
        </w:tc>
        <w:tc>
          <w:tcPr>
            <w:tcW w:w="174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4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一、大气环境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中心城区二氧化硫日平均值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毫克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立方米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中心城区二氧化氮日平均值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毫克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立方米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0.048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中心城区可吸入颗粒物平均浓度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毫克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立方米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0.073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酸雨频率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环境空气质量优良率（</w:t>
            </w:r>
            <w:r>
              <w:rPr>
                <w:szCs w:val="21"/>
              </w:rPr>
              <w:t>AQI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70.3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环境空气质量优良天数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天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　指数达到一级天数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天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　指数达到二级天数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天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区域平均降尘量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吨/平方公里.月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5.5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二、声环境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环境噪声达标区域覆盖率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83.1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区域环境噪声平均等效声级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  昼间时段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分贝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55.2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夜间时段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分贝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48.0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49.0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交通环境噪声平均等效声级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　昼间时段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分贝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72.4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夜间时段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分贝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67.4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汽车流量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　昼间时段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辆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夜间时段</w:t>
            </w:r>
            <w:bookmarkStart w:id="22" w:name="_GoBack"/>
            <w:bookmarkEnd w:id="22"/>
          </w:p>
        </w:tc>
        <w:tc>
          <w:tcPr>
            <w:tcW w:w="174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辆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969</w:t>
            </w:r>
          </w:p>
        </w:tc>
        <w:tc>
          <w:tcPr>
            <w:tcW w:w="17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1020</w:t>
            </w:r>
          </w:p>
        </w:tc>
      </w:tr>
    </w:tbl>
    <w:p>
      <w:pPr>
        <w:rPr>
          <w:szCs w:val="21"/>
        </w:rPr>
      </w:pPr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8" o:spid="_x0000_s1025" style="position:absolute;left:0;margin-left:285.3pt;margin-top:16.75pt;height:0.05pt;width:162.75pt;rotation:0f;z-index:25167052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固定资产投资、房地产业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7" o:spid="_x0000_s1026" style="position:absolute;left:0;margin-left:-20.7pt;margin-top:17.2pt;height:0.05pt;width:162.45pt;rotation:0f;z-index:25166950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固定资产投资、房地产业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0" o:spid="_x0000_s1027" style="position:absolute;left:0;margin-left:326.45pt;margin-top:16.15pt;height:0.05pt;width:121.6pt;rotation:0f;z-index:25167257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城市建设、环境保护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9" o:spid="_x0000_s1028" style="position:absolute;left:0;flip:y;margin-left:-20.7pt;margin-top:16.15pt;height:0.05pt;width:121.25pt;rotation:0f;z-index:25167155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城市建设、环境保护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2016-10-17T02:55:25Z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