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_x0000_s1756" o:spid="_x0000_s1030" type="#_x0000_t202" style="position:absolute;left:0;margin-left:-23.8pt;margin-top:11.55pt;height:70.85pt;width:467.7pt;rotation:0f;z-index:-251653120;" o:ole="f" fillcolor="#969696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</w:p>
    <w:p>
      <w:pPr>
        <w:pStyle w:val="3"/>
        <w:ind w:firstLine="0"/>
        <w:jc w:val="center"/>
        <w:rPr>
          <w:rFonts w:ascii="方正大标宋简体" w:eastAsia="方正大标宋简体"/>
          <w:sz w:val="56"/>
          <w:szCs w:val="72"/>
        </w:rPr>
      </w:pPr>
      <w:bookmarkStart w:id="0" w:name="_Toc424197950"/>
      <w:bookmarkStart w:id="1" w:name="_Toc456185435"/>
      <w:r>
        <w:rPr>
          <w:rFonts w:hint="eastAsia" w:ascii="方正大标宋简体" w:eastAsia="方正大标宋简体"/>
          <w:sz w:val="56"/>
          <w:szCs w:val="72"/>
        </w:rPr>
        <w:t>六、固定资产投资、房地产业</w:t>
      </w:r>
      <w:bookmarkEnd w:id="0"/>
      <w:bookmarkEnd w:id="1"/>
    </w:p>
    <w:p/>
    <w:p/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0433" w:h="14742"/>
          <w:pgMar w:top="1474" w:right="1021" w:bottom="1134" w:left="1021" w:header="680" w:footer="794" w:gutter="0"/>
          <w:cols w:space="720" w:num="1"/>
          <w:titlePg/>
          <w:docGrid w:linePitch="312" w:charSpace="0"/>
        </w:sectPr>
      </w:pPr>
    </w:p>
    <w:p>
      <w:pPr>
        <w:pStyle w:val="2"/>
        <w:spacing w:before="0" w:after="0"/>
        <w:jc w:val="right"/>
        <w:rPr>
          <w:rFonts w:ascii="宋体" w:hAnsi="宋体" w:cs="宋体"/>
          <w:bCs w:val="0"/>
        </w:rPr>
      </w:pPr>
      <w:bookmarkStart w:id="2" w:name="_Toc424197951"/>
      <w:bookmarkStart w:id="3" w:name="_Toc425143952"/>
      <w:bookmarkStart w:id="4" w:name="_Toc456185436"/>
      <w:r>
        <w:rPr>
          <w:rFonts w:hint="eastAsia" w:ascii="宋体" w:hAnsi="宋体" w:cs="宋体"/>
          <w:bCs w:val="0"/>
        </w:rPr>
        <w:t>固定资产投资</w:t>
      </w:r>
      <w:bookmarkEnd w:id="2"/>
      <w:bookmarkEnd w:id="3"/>
      <w:bookmarkEnd w:id="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0"/>
        <w:gridCol w:w="2040"/>
        <w:gridCol w:w="1656"/>
        <w:gridCol w:w="17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8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3840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204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投资项目数（个）</w:t>
            </w:r>
          </w:p>
        </w:tc>
        <w:tc>
          <w:tcPr>
            <w:tcW w:w="3362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本年完成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840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投资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建筑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安装工程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396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3472214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2176612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一、建设项目产业分类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第一产业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第二产业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573388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320137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工业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573388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320137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第三产业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2898826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1856475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二、建设项目性质分类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新建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2909712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1852641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扩建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271560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171380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8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改建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285810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150491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384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其他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5132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2100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5" w:name="_Toc425143953"/>
      <w:bookmarkStart w:id="6" w:name="_Toc425427567"/>
      <w:bookmarkStart w:id="7" w:name="_Toc456185437"/>
      <w:r>
        <w:rPr>
          <w:rFonts w:hint="eastAsia" w:ascii="黑体"/>
        </w:rPr>
        <w:t>完成情况（区域）</w:t>
      </w:r>
      <w:bookmarkEnd w:id="5"/>
      <w:bookmarkEnd w:id="6"/>
      <w:r>
        <w:rPr>
          <w:rFonts w:hint="eastAsia" w:ascii="黑体"/>
        </w:rPr>
        <w:t>(一)</w:t>
      </w:r>
      <w:bookmarkEnd w:id="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3089"/>
        <w:gridCol w:w="33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bookmarkStart w:id="8" w:name="_Toc424197952"/>
          </w:p>
        </w:tc>
        <w:tc>
          <w:tcPr>
            <w:tcW w:w="308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</w:p>
        </w:tc>
        <w:tc>
          <w:tcPr>
            <w:tcW w:w="336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790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本年新增固定资产</w:t>
            </w:r>
          </w:p>
        </w:tc>
        <w:tc>
          <w:tcPr>
            <w:tcW w:w="6452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本年房屋建设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2790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施工面积（平方米）</w:t>
            </w:r>
          </w:p>
        </w:tc>
        <w:tc>
          <w:tcPr>
            <w:tcW w:w="336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竣工面积（平方米）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2453840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14274436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3032612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621549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785989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621549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785989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1832291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13488447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3032612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1813101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13936313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3032612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109440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265827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522730</w:t>
            </w:r>
          </w:p>
        </w:tc>
        <w:tc>
          <w:tcPr>
            <w:tcW w:w="308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53883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79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8569</w:t>
            </w:r>
          </w:p>
        </w:tc>
        <w:tc>
          <w:tcPr>
            <w:tcW w:w="308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18413</w:t>
            </w:r>
          </w:p>
        </w:tc>
        <w:tc>
          <w:tcPr>
            <w:tcW w:w="336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bookmarkEnd w:id="8"/>
    </w:tbl>
    <w:p>
      <w:pPr>
        <w:pStyle w:val="2"/>
        <w:spacing w:before="0" w:after="0"/>
        <w:rPr>
          <w:rFonts w:ascii="黑体"/>
        </w:rPr>
      </w:pPr>
      <w:bookmarkStart w:id="9" w:name="_Toc424197953"/>
      <w:bookmarkStart w:id="10" w:name="_Toc425143955"/>
      <w:bookmarkStart w:id="11" w:name="_Toc456185438"/>
      <w:r>
        <w:rPr>
          <w:rFonts w:hint="eastAsia" w:ascii="黑体"/>
        </w:rPr>
        <w:t>固定资产投资</w:t>
      </w:r>
      <w:bookmarkStart w:id="12" w:name="_Toc424197954"/>
      <w:bookmarkEnd w:id="9"/>
      <w:r>
        <w:rPr>
          <w:rFonts w:hint="eastAsia" w:ascii="黑体"/>
        </w:rPr>
        <w:t>完成情况（区域）</w:t>
      </w:r>
      <w:bookmarkEnd w:id="10"/>
      <w:bookmarkEnd w:id="12"/>
      <w:r>
        <w:rPr>
          <w:rFonts w:hint="eastAsia" w:ascii="黑体"/>
        </w:rPr>
        <w:t>（二）</w:t>
      </w:r>
      <w:bookmarkEnd w:id="11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7"/>
        <w:gridCol w:w="1063"/>
        <w:gridCol w:w="1116"/>
        <w:gridCol w:w="1050"/>
        <w:gridCol w:w="1203"/>
        <w:gridCol w:w="1008"/>
        <w:gridCol w:w="11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69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697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5440" w:type="dxa"/>
            <w:gridSpan w:val="5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资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rFonts w:hint="eastAsia" w:cs="宋体"/>
                <w:kern w:val="0"/>
                <w:szCs w:val="21"/>
              </w:rPr>
              <w:t>金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rFonts w:hint="eastAsia" w:cs="宋体"/>
                <w:kern w:val="0"/>
                <w:szCs w:val="21"/>
              </w:rPr>
              <w:t>来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rFonts w:hint="eastAsia" w:cs="宋体"/>
                <w:kern w:val="0"/>
                <w:szCs w:val="21"/>
              </w:rPr>
              <w:t>源</w:t>
            </w:r>
          </w:p>
        </w:tc>
        <w:tc>
          <w:tcPr>
            <w:tcW w:w="110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697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06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上年末结余资金</w:t>
            </w:r>
          </w:p>
        </w:tc>
        <w:tc>
          <w:tcPr>
            <w:tcW w:w="436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本年资金来源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697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06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16" w:type="dxa"/>
            <w:vMerge w:val="continue"/>
            <w:tcBorders>
              <w:top w:val="nil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小计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国内贷款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利用外资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自筹资金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6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7076643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1499124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5577519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979287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38275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2036790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6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一、建设项目产业分类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6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第一产业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6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第二产业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651851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26349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625502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617502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6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工业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651851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26349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625502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617502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6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第三产业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6424792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1472775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4952017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972487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37075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1419288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6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二、建设项目性质分类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6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新建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6467245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1490397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4976848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979287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38275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1484583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6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扩建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306228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299526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251062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6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改建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297593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295568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295568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269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其他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5577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5577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5577</w:t>
            </w:r>
          </w:p>
        </w:tc>
      </w:tr>
    </w:tbl>
    <w:p>
      <w:pPr>
        <w:pStyle w:val="2"/>
        <w:spacing w:before="0" w:after="0"/>
        <w:rPr>
          <w:rFonts w:ascii="宋体" w:hAnsi="宋体" w:cs="宋体"/>
          <w:bCs w:val="0"/>
        </w:rPr>
      </w:pPr>
      <w:bookmarkStart w:id="13" w:name="_Toc425143954"/>
      <w:bookmarkStart w:id="14" w:name="_Toc456185439"/>
      <w:r>
        <w:rPr>
          <w:rFonts w:hint="eastAsia" w:ascii="宋体" w:hAnsi="宋体" w:cs="宋体"/>
          <w:bCs w:val="0"/>
        </w:rPr>
        <w:t>各行业固定资产投资额（区域）</w:t>
      </w:r>
      <w:bookmarkEnd w:id="13"/>
      <w:bookmarkEnd w:id="1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2"/>
        <w:gridCol w:w="1787"/>
        <w:gridCol w:w="17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67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行       业</w:t>
            </w:r>
          </w:p>
        </w:tc>
        <w:tc>
          <w:tcPr>
            <w:tcW w:w="1787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  <w:tc>
          <w:tcPr>
            <w:tcW w:w="178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787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3472214</w:t>
            </w:r>
          </w:p>
        </w:tc>
        <w:tc>
          <w:tcPr>
            <w:tcW w:w="178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-12.0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农、林、牧、渔业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采矿业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制造业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556162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-28.1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电力、燃气及水的生产和供应业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17226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建筑业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交通运输、仓储和邮政业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97006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信息传输、计算机服务和软件业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116850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批发和零售业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10493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-86.1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住宿和餐饮业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房地产业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2397937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-8.4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租赁和商务服务业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72185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-11.3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科学研究、技术服务和地质勘查业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46249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-15.1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水利、环境和公共设施管理业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95599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-6.0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居民服务和其他服务业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2294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-85.1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教育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40730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40.1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卫生、社会保障和社会福利业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16062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文化、体育和娱乐业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2788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-47.6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67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公共管理和社会组织</w:t>
            </w:r>
          </w:p>
        </w:tc>
        <w:tc>
          <w:tcPr>
            <w:tcW w:w="178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633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-21.8 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15" w:name="_Toc423699756"/>
      <w:bookmarkStart w:id="16" w:name="_Toc424197955"/>
      <w:bookmarkStart w:id="17" w:name="_Toc425143956"/>
      <w:bookmarkStart w:id="18" w:name="_Toc456185440"/>
      <w:r>
        <w:rPr>
          <w:rFonts w:hint="eastAsia" w:ascii="黑体"/>
        </w:rPr>
        <w:t>固 定 资 产 投 资</w:t>
      </w:r>
      <w:bookmarkEnd w:id="15"/>
      <w:bookmarkEnd w:id="16"/>
      <w:bookmarkEnd w:id="17"/>
      <w:bookmarkEnd w:id="1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6"/>
        <w:gridCol w:w="2432"/>
        <w:gridCol w:w="1757"/>
        <w:gridCol w:w="17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29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43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widowControl/>
              <w:jc w:val="right"/>
              <w:rPr>
                <w:kern w:val="0"/>
                <w:szCs w:val="21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widowControl/>
              <w:jc w:val="right"/>
              <w:rPr>
                <w:kern w:val="0"/>
                <w:szCs w:val="21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widowControl/>
              <w:jc w:val="righ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329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2432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投资项目数（个）</w:t>
            </w:r>
          </w:p>
        </w:tc>
        <w:tc>
          <w:tcPr>
            <w:tcW w:w="35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本年完成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3296" w:type="dxa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432" w:type="dxa"/>
            <w:vMerge w:val="continue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投资</w:t>
            </w:r>
          </w:p>
        </w:tc>
        <w:tc>
          <w:tcPr>
            <w:tcW w:w="1757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建筑安装工程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32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215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3066445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1963159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32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一、建设项目产业分类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32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第一产业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32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第二产业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167619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106684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32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工业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167619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106684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32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第三产业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2898826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1856475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32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二、建设项目性质分类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32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新建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169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2909712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1852641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32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扩建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104535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32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改建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47066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27253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329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其他</w:t>
            </w:r>
          </w:p>
        </w:tc>
        <w:tc>
          <w:tcPr>
            <w:tcW w:w="243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5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5132</w:t>
            </w:r>
          </w:p>
        </w:tc>
        <w:tc>
          <w:tcPr>
            <w:tcW w:w="1757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2100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9" w:name="_Toc423699757"/>
      <w:bookmarkStart w:id="20" w:name="_Toc424197956"/>
      <w:bookmarkStart w:id="21" w:name="_Toc425143957"/>
      <w:bookmarkStart w:id="22" w:name="_Toc425427571"/>
      <w:bookmarkStart w:id="23" w:name="_Toc456185441"/>
      <w:r>
        <w:rPr>
          <w:rFonts w:hint="eastAsia" w:ascii="黑体"/>
        </w:rPr>
        <w:t>完 成 情 况（区 属）</w:t>
      </w:r>
      <w:bookmarkEnd w:id="19"/>
      <w:bookmarkEnd w:id="20"/>
      <w:bookmarkEnd w:id="21"/>
      <w:bookmarkEnd w:id="22"/>
      <w:r>
        <w:rPr>
          <w:rFonts w:hint="eastAsia" w:ascii="黑体"/>
        </w:rPr>
        <w:t>（一）</w:t>
      </w:r>
      <w:bookmarkEnd w:id="2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3120"/>
        <w:gridCol w:w="7"/>
        <w:gridCol w:w="31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298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134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298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本年新增固定资产</w:t>
            </w:r>
          </w:p>
        </w:tc>
        <w:tc>
          <w:tcPr>
            <w:tcW w:w="6254" w:type="dxa"/>
            <w:gridSpan w:val="3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本年房屋建设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9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3127" w:type="dxa"/>
            <w:gridSpan w:val="2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施工面积（平方米）</w:t>
            </w:r>
          </w:p>
        </w:tc>
        <w:tc>
          <w:tcPr>
            <w:tcW w:w="312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竣工面积（平方米）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298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2019528</w:t>
            </w:r>
          </w:p>
        </w:tc>
        <w:tc>
          <w:tcPr>
            <w:tcW w:w="3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14274436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3032612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2988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3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298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3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298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217237</w:t>
            </w:r>
          </w:p>
        </w:tc>
        <w:tc>
          <w:tcPr>
            <w:tcW w:w="3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785989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298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217237</w:t>
            </w:r>
          </w:p>
        </w:tc>
        <w:tc>
          <w:tcPr>
            <w:tcW w:w="3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785989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298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1832291</w:t>
            </w:r>
          </w:p>
        </w:tc>
        <w:tc>
          <w:tcPr>
            <w:tcW w:w="3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13488447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3032612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2988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3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298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1813101</w:t>
            </w:r>
          </w:p>
        </w:tc>
        <w:tc>
          <w:tcPr>
            <w:tcW w:w="3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13936313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3032612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298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69708</w:t>
            </w:r>
          </w:p>
        </w:tc>
        <w:tc>
          <w:tcPr>
            <w:tcW w:w="3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265827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298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158150</w:t>
            </w:r>
          </w:p>
        </w:tc>
        <w:tc>
          <w:tcPr>
            <w:tcW w:w="31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53883</w:t>
            </w:r>
          </w:p>
        </w:tc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2988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8569</w:t>
            </w:r>
          </w:p>
        </w:tc>
        <w:tc>
          <w:tcPr>
            <w:tcW w:w="3127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18413</w:t>
            </w:r>
          </w:p>
        </w:tc>
        <w:tc>
          <w:tcPr>
            <w:tcW w:w="312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</w:tbl>
    <w:p>
      <w:pPr>
        <w:pStyle w:val="2"/>
        <w:spacing w:before="0" w:after="0"/>
        <w:rPr>
          <w:rFonts w:ascii="黑体" w:hAnsi="宋体" w:cs="宋体"/>
        </w:rPr>
      </w:pPr>
      <w:bookmarkStart w:id="24" w:name="_Toc424197957"/>
      <w:bookmarkStart w:id="25" w:name="_Toc425143958"/>
      <w:bookmarkStart w:id="26" w:name="_Toc456185442"/>
      <w:r>
        <w:rPr>
          <w:rFonts w:hint="eastAsia" w:ascii="黑体" w:hAnsi="宋体" w:cs="宋体"/>
        </w:rPr>
        <w:t>固定资产投资完成情况（区属）</w:t>
      </w:r>
      <w:bookmarkEnd w:id="24"/>
      <w:bookmarkEnd w:id="25"/>
      <w:r>
        <w:rPr>
          <w:rFonts w:hint="eastAsia" w:ascii="黑体" w:hAnsi="宋体" w:cs="宋体"/>
        </w:rPr>
        <w:t>（二）</w:t>
      </w:r>
      <w:bookmarkEnd w:id="26"/>
    </w:p>
    <w:tbl>
      <w:tblPr>
        <w:tblW w:w="93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8"/>
        <w:gridCol w:w="1123"/>
        <w:gridCol w:w="1123"/>
        <w:gridCol w:w="1034"/>
        <w:gridCol w:w="1171"/>
        <w:gridCol w:w="1068"/>
        <w:gridCol w:w="11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67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2678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6635" w:type="dxa"/>
            <w:gridSpan w:val="6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资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rFonts w:hint="eastAsia" w:cs="宋体"/>
                <w:kern w:val="0"/>
                <w:szCs w:val="21"/>
              </w:rPr>
              <w:t>金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rFonts w:hint="eastAsia" w:cs="宋体"/>
                <w:kern w:val="0"/>
                <w:szCs w:val="21"/>
              </w:rPr>
              <w:t>来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rFonts w:hint="eastAsia" w:cs="宋体"/>
                <w:kern w:val="0"/>
                <w:szCs w:val="21"/>
              </w:rPr>
              <w:t>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678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23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合计</w:t>
            </w:r>
          </w:p>
        </w:tc>
        <w:tc>
          <w:tcPr>
            <w:tcW w:w="112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上年末结余资金</w:t>
            </w:r>
          </w:p>
        </w:tc>
        <w:tc>
          <w:tcPr>
            <w:tcW w:w="4389" w:type="dxa"/>
            <w:gridSpan w:val="4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本年资金来源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67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23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0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小计</w:t>
            </w:r>
          </w:p>
        </w:tc>
        <w:tc>
          <w:tcPr>
            <w:tcW w:w="11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国内贷款</w:t>
            </w:r>
          </w:p>
        </w:tc>
        <w:tc>
          <w:tcPr>
            <w:tcW w:w="10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利用外资</w:t>
            </w:r>
          </w:p>
        </w:tc>
        <w:tc>
          <w:tcPr>
            <w:tcW w:w="1116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自筹资金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6674755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1499124</w:t>
            </w:r>
          </w:p>
        </w:tc>
        <w:tc>
          <w:tcPr>
            <w:tcW w:w="10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5175631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979287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38275</w:t>
            </w: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1634902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一、建设项目产业分类</w:t>
            </w: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23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34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第一产业</w:t>
            </w: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2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第二产业</w:t>
            </w: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249963</w:t>
            </w:r>
          </w:p>
        </w:tc>
        <w:tc>
          <w:tcPr>
            <w:tcW w:w="112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26349</w:t>
            </w:r>
          </w:p>
        </w:tc>
        <w:tc>
          <w:tcPr>
            <w:tcW w:w="10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223614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6800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1200</w:t>
            </w: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215614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工业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249963</w:t>
            </w:r>
          </w:p>
        </w:tc>
        <w:tc>
          <w:tcPr>
            <w:tcW w:w="112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26349</w:t>
            </w:r>
          </w:p>
        </w:tc>
        <w:tc>
          <w:tcPr>
            <w:tcW w:w="10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223614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6800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1200</w:t>
            </w: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215614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第三产业</w:t>
            </w: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6424792</w:t>
            </w:r>
          </w:p>
        </w:tc>
        <w:tc>
          <w:tcPr>
            <w:tcW w:w="112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1472775</w:t>
            </w:r>
          </w:p>
        </w:tc>
        <w:tc>
          <w:tcPr>
            <w:tcW w:w="10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4952017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972487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37075</w:t>
            </w: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1419288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二、建设项目性质分类</w:t>
            </w: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23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34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新建</w:t>
            </w: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6467245</w:t>
            </w:r>
          </w:p>
        </w:tc>
        <w:tc>
          <w:tcPr>
            <w:tcW w:w="112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1490397</w:t>
            </w:r>
          </w:p>
        </w:tc>
        <w:tc>
          <w:tcPr>
            <w:tcW w:w="10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4976848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979287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38275</w:t>
            </w: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1484583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扩建</w:t>
            </w: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139203</w:t>
            </w:r>
          </w:p>
        </w:tc>
        <w:tc>
          <w:tcPr>
            <w:tcW w:w="112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6702</w:t>
            </w:r>
          </w:p>
        </w:tc>
        <w:tc>
          <w:tcPr>
            <w:tcW w:w="10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132501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84037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6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改建</w:t>
            </w: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62730</w:t>
            </w:r>
          </w:p>
        </w:tc>
        <w:tc>
          <w:tcPr>
            <w:tcW w:w="112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2025</w:t>
            </w:r>
          </w:p>
        </w:tc>
        <w:tc>
          <w:tcPr>
            <w:tcW w:w="10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60705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60705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267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其他</w:t>
            </w: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5577</w:t>
            </w:r>
          </w:p>
        </w:tc>
        <w:tc>
          <w:tcPr>
            <w:tcW w:w="1123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3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5577</w:t>
            </w:r>
          </w:p>
        </w:tc>
        <w:tc>
          <w:tcPr>
            <w:tcW w:w="1171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068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116" w:type="dxa"/>
            <w:tcBorders>
              <w:top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5577</w:t>
            </w:r>
          </w:p>
        </w:tc>
      </w:tr>
    </w:tbl>
    <w:p>
      <w:pPr>
        <w:pStyle w:val="2"/>
        <w:spacing w:before="0" w:after="0"/>
        <w:rPr>
          <w:rFonts w:ascii="宋体" w:hAnsi="宋体" w:cs="宋体"/>
          <w:bCs w:val="0"/>
        </w:rPr>
      </w:pPr>
      <w:bookmarkStart w:id="27" w:name="_Toc424197958"/>
      <w:bookmarkStart w:id="28" w:name="_Toc425143959"/>
      <w:bookmarkStart w:id="29" w:name="_Toc456185443"/>
      <w:r>
        <w:rPr>
          <w:rFonts w:hint="eastAsia" w:ascii="宋体" w:hAnsi="宋体" w:cs="宋体"/>
          <w:bCs w:val="0"/>
        </w:rPr>
        <w:t>各行业固定资产投资额（区属）</w:t>
      </w:r>
      <w:bookmarkEnd w:id="27"/>
      <w:bookmarkEnd w:id="28"/>
      <w:bookmarkEnd w:id="2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7"/>
        <w:gridCol w:w="1729"/>
        <w:gridCol w:w="17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80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行      业</w:t>
            </w:r>
          </w:p>
        </w:tc>
        <w:tc>
          <w:tcPr>
            <w:tcW w:w="172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  <w:tc>
          <w:tcPr>
            <w:tcW w:w="170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3066445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-9.1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农、林、牧、渔业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制造业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150393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-24.6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电力、燃气及水的生产和供应业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17226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32.5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建筑业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交通运输、仓储和邮政业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97006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信息传输、计算机服务和软件业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116850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批发和零售业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10493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-86.1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住宿和餐饮业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房地产业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2397937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-8.4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租赁和商务服务业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72185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-11.3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科学研究、技术服务和地质勘查业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46249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-14.3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水利、环境和公共设施管理业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95599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-6.0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居民服务和其他服务业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2294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-85.1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教育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40730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40.1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卫生、社会保障和社会福利业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16062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-3.5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文化、体育和娱乐业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2788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-47.6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580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公共管理和社会组织</w:t>
            </w:r>
          </w:p>
        </w:tc>
        <w:tc>
          <w:tcPr>
            <w:tcW w:w="172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633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-21.8 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30" w:name="_Toc424197959"/>
      <w:bookmarkStart w:id="31" w:name="_Toc425143960"/>
      <w:bookmarkStart w:id="32" w:name="_Toc456185444"/>
      <w:r>
        <w:rPr>
          <w:rFonts w:hint="eastAsia" w:ascii="黑体"/>
        </w:rPr>
        <w:t>各 镇、街 道 固 定 资</w:t>
      </w:r>
      <w:bookmarkEnd w:id="30"/>
      <w:bookmarkEnd w:id="31"/>
      <w:bookmarkEnd w:id="3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7"/>
        <w:gridCol w:w="2703"/>
        <w:gridCol w:w="27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kern w:val="0"/>
                <w:szCs w:val="21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767" w:type="dxa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2703" w:type="dxa"/>
            <w:tcBorders>
              <w:top w:val="single" w:color="auto" w:sz="12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2015年</w:t>
            </w:r>
          </w:p>
        </w:tc>
        <w:tc>
          <w:tcPr>
            <w:tcW w:w="2772" w:type="dxa"/>
            <w:tcBorders>
              <w:top w:val="single" w:color="auto" w:sz="12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2954600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-8.1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2791337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-5.4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罗店镇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714512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大场镇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bottom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szCs w:val="21"/>
              </w:rPr>
              <w:t>486125</w: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5" o:spid="_x0000_s1031" type="#_x0000_t75" style="position:absolute;left:0;margin-left:38.25pt;margin-top:16.5pt;height:3pt;width:28.5pt;rotation:0f;z-index:25195110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6" o:spid="_x0000_s1032" type="#_x0000_t75" style="position:absolute;left:0;margin-left:38.25pt;margin-top:16.5pt;height:3pt;width:28.5pt;rotation:0f;z-index:25195212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9" o:spid="_x0000_s1033" type="#_x0000_t75" style="position:absolute;left:0;margin-left:38.25pt;margin-top:16.5pt;height:3pt;width:28.5pt;rotation:0f;z-index:25195315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10" o:spid="_x0000_s1034" type="#_x0000_t75" style="position:absolute;left:0;margin-left:38.25pt;margin-top:16.5pt;height:3pt;width:28.5pt;rotation:0f;z-index:25195417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15" o:spid="_x0000_s1035" type="#_x0000_t75" style="position:absolute;left:0;margin-left:38.25pt;margin-top:16.5pt;height:3pt;width:28.5pt;rotation:0f;z-index:25195520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16" o:spid="_x0000_s1036" type="#_x0000_t75" style="position:absolute;left:0;margin-left:38.25pt;margin-top:16.5pt;height:3pt;width:28.5pt;rotation:0f;z-index:25195622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19" o:spid="_x0000_s1037" type="#_x0000_t75" style="position:absolute;left:0;margin-left:38.25pt;margin-top:16.5pt;height:3pt;width:28.5pt;rotation:0f;z-index:25195724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_x0000_s7970" o:spid="_x0000_s1038" type="#_x0000_t75" style="position:absolute;left:0;margin-left:38.25pt;margin-top:16.5pt;height:3pt;width:28.5pt;rotation:0f;z-index:25195827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25" o:spid="_x0000_s1039" type="#_x0000_t75" style="position:absolute;left:0;margin-left:38.25pt;margin-top:16.5pt;height:3pt;width:28.5pt;rotation:0f;z-index:25195929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26" o:spid="_x0000_s1040" type="#_x0000_t75" style="position:absolute;left:0;margin-left:38.25pt;margin-top:16.5pt;height:3pt;width:28.5pt;rotation:0f;z-index:25196032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29" o:spid="_x0000_s1041" type="#_x0000_t75" style="position:absolute;left:0;margin-left:38.25pt;margin-top:16.5pt;height:3pt;width:28.5pt;rotation:0f;z-index:25196134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30" o:spid="_x0000_s1042" type="#_x0000_t75" style="position:absolute;left:0;margin-left:38.25pt;margin-top:16.5pt;height:3pt;width:28.5pt;rotation:0f;z-index:25196236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35" o:spid="_x0000_s1043" type="#_x0000_t75" style="position:absolute;left:0;margin-left:38.25pt;margin-top:16.5pt;height:3pt;width:28.5pt;rotation:0f;z-index:25196339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36" o:spid="_x0000_s1044" type="#_x0000_t75" style="position:absolute;left:0;margin-left:38.25pt;margin-top:16.5pt;height:3pt;width:28.5pt;rotation:0f;z-index:25196441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39" o:spid="_x0000_s1045" type="#_x0000_t75" style="position:absolute;left:0;margin-left:38.25pt;margin-top:16.5pt;height:3pt;width:28.5pt;rotation:0f;z-index:25196544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40" o:spid="_x0000_s1046" type="#_x0000_t75" style="position:absolute;left:0;margin-left:38.25pt;margin-top:16.5pt;height:3pt;width:28.5pt;rotation:0f;z-index:25196646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45" o:spid="_x0000_s1047" type="#_x0000_t75" style="position:absolute;left:0;margin-left:38.25pt;margin-top:16.5pt;height:3pt;width:28.5pt;rotation:0f;z-index:25196748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46" o:spid="_x0000_s1048" type="#_x0000_t75" style="position:absolute;left:0;margin-left:38.25pt;margin-top:16.5pt;height:3pt;width:28.5pt;rotation:0f;z-index:25196851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49" o:spid="_x0000_s1049" type="#_x0000_t75" style="position:absolute;left:0;margin-left:38.25pt;margin-top:16.5pt;height:3pt;width:28.5pt;rotation:0f;z-index:25196953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50" o:spid="_x0000_s1050" type="#_x0000_t75" style="position:absolute;left:0;margin-left:38.25pt;margin-top:16.5pt;height:3pt;width:28.5pt;rotation:0f;z-index:251970560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55" o:spid="_x0000_s1051" type="#_x0000_t75" style="position:absolute;left:0;margin-left:38.25pt;margin-top:16.5pt;height:3pt;width:28.5pt;rotation:0f;z-index:251971584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56" o:spid="_x0000_s1052" type="#_x0000_t75" style="position:absolute;left:0;margin-left:38.25pt;margin-top:16.5pt;height:3pt;width:28.5pt;rotation:0f;z-index:251972608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59" o:spid="_x0000_s1053" type="#_x0000_t75" style="position:absolute;left:0;margin-left:38.25pt;margin-top:16.5pt;height:3pt;width:28.5pt;rotation:0f;z-index:251973632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  <w:r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pict>
                <v:shape id="Text Box 60" o:spid="_x0000_s1054" type="#_x0000_t75" style="position:absolute;left:0;margin-left:38.25pt;margin-top:16.5pt;height:3pt;width:28.5pt;rotation:0f;z-index:251974656;" o:ole="f" fillcolor="#FFFFFF" filled="f" o:preferrelative="t" stroked="f" coordorigin="0,0" coordsize="21600,21600">
                  <v:fill on="f" color2="#FFFFFF" focus="0%"/>
                  <v:imagedata gain="65536f" blacklevel="0f" gamma="0" o:title="" r:id="rId13"/>
                  <o:lock v:ext="edit" position="f" selection="f" grouping="f" rotation="f" cropping="f" text="f" aspectratio="f"/>
                </v:shape>
              </w:pic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-0.4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杨行镇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311136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-17.3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月浦镇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127278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-30.5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罗泾镇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83132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-13.5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顾村镇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766980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高境镇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130629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-65.6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庙行镇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116866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淞南镇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54679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-33.2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34827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-71.7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友谊路街道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31394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-70.8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吴淞街道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3086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-36.8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张庙街道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347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-96.8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三、城市工业园区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32020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20.4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76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四、宝山工业园区</w:t>
            </w:r>
          </w:p>
        </w:tc>
        <w:tc>
          <w:tcPr>
            <w:tcW w:w="270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96416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-17.8 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33" w:name="_Toc423699761"/>
      <w:bookmarkStart w:id="34" w:name="_Toc424197960"/>
      <w:bookmarkStart w:id="35" w:name="_Toc425143961"/>
      <w:bookmarkStart w:id="36" w:name="_Toc425427575"/>
      <w:bookmarkStart w:id="37" w:name="_Toc456185445"/>
      <w:r>
        <w:rPr>
          <w:rFonts w:hint="eastAsia" w:ascii="黑体"/>
        </w:rPr>
        <w:t>产 投 资 完 成 情 况</w:t>
      </w:r>
      <w:bookmarkEnd w:id="33"/>
      <w:bookmarkEnd w:id="34"/>
      <w:bookmarkEnd w:id="35"/>
      <w:bookmarkEnd w:id="36"/>
      <w:bookmarkEnd w:id="3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115"/>
        <w:gridCol w:w="2115"/>
        <w:gridCol w:w="27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274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right"/>
              <w:rPr>
                <w:kern w:val="0"/>
                <w:szCs w:val="21"/>
              </w:rPr>
            </w:pPr>
          </w:p>
        </w:tc>
        <w:tc>
          <w:tcPr>
            <w:tcW w:w="2115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right"/>
              <w:rPr>
                <w:kern w:val="0"/>
                <w:szCs w:val="21"/>
              </w:rPr>
            </w:pPr>
          </w:p>
        </w:tc>
        <w:tc>
          <w:tcPr>
            <w:tcW w:w="2115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right"/>
              <w:rPr>
                <w:kern w:val="0"/>
                <w:szCs w:val="21"/>
              </w:rPr>
            </w:pPr>
          </w:p>
        </w:tc>
        <w:tc>
          <w:tcPr>
            <w:tcW w:w="2738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9242" w:type="dxa"/>
            <w:gridSpan w:val="4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其中：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2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第二产业</w:t>
            </w:r>
          </w:p>
        </w:tc>
        <w:tc>
          <w:tcPr>
            <w:tcW w:w="21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工业</w:t>
            </w:r>
          </w:p>
        </w:tc>
        <w:tc>
          <w:tcPr>
            <w:tcW w:w="21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第三产业</w:t>
            </w:r>
          </w:p>
        </w:tc>
        <w:tc>
          <w:tcPr>
            <w:tcW w:w="27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房地产业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153830</w:t>
            </w:r>
          </w:p>
        </w:tc>
        <w:tc>
          <w:tcPr>
            <w:tcW w:w="211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153830</w:t>
            </w:r>
          </w:p>
        </w:tc>
        <w:tc>
          <w:tcPr>
            <w:tcW w:w="211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2800770</w:t>
            </w:r>
          </w:p>
        </w:tc>
        <w:tc>
          <w:tcPr>
            <w:tcW w:w="273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2397937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46177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46177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2745160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2385798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27548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27548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686964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684591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486125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470731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311136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263497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2365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2365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124913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56613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83132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21387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16264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16264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750716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696249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130629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89454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116866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98661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54679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3768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3768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31059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3768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3768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27626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3086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347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24020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24020</w:t>
            </w:r>
          </w:p>
        </w:tc>
        <w:tc>
          <w:tcPr>
            <w:tcW w:w="211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8000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74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79865</w:t>
            </w:r>
          </w:p>
        </w:tc>
        <w:tc>
          <w:tcPr>
            <w:tcW w:w="2115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79865</w:t>
            </w:r>
          </w:p>
        </w:tc>
        <w:tc>
          <w:tcPr>
            <w:tcW w:w="2115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16551</w:t>
            </w:r>
          </w:p>
        </w:tc>
        <w:tc>
          <w:tcPr>
            <w:tcW w:w="2738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12139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38" w:name="_Toc424197961"/>
      <w:bookmarkStart w:id="39" w:name="_Toc425143962"/>
      <w:bookmarkStart w:id="40" w:name="_Toc456185446"/>
      <w:r>
        <w:rPr>
          <w:rFonts w:hint="eastAsia" w:ascii="黑体"/>
        </w:rPr>
        <w:t>房 地 产 开 发、</w:t>
      </w:r>
      <w:bookmarkEnd w:id="38"/>
      <w:bookmarkEnd w:id="39"/>
      <w:bookmarkEnd w:id="4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5"/>
        <w:gridCol w:w="1204"/>
        <w:gridCol w:w="2025"/>
        <w:gridCol w:w="17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22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20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202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  <w:tc>
          <w:tcPr>
            <w:tcW w:w="178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一、企业户数</w:t>
            </w:r>
          </w:p>
        </w:tc>
        <w:tc>
          <w:tcPr>
            <w:tcW w:w="120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户</w:t>
            </w:r>
          </w:p>
        </w:tc>
        <w:tc>
          <w:tcPr>
            <w:tcW w:w="2025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126</w:t>
            </w:r>
          </w:p>
        </w:tc>
        <w:tc>
          <w:tcPr>
            <w:tcW w:w="178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-6.7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二、投资额、新增固定资产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本年完成投资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2397937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-8.4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配套工程投资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按构成分：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建筑工程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1276089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安装工程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167452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设备工器具购置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30070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2.4</w:t>
            </w:r>
            <w:r>
              <w:rPr>
                <w:rFonts w:hint="eastAsia"/>
                <w:szCs w:val="21"/>
              </w:rPr>
              <w:t>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其他费用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924326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-9.3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土地购置费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668631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-19.6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按用途分：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住宅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1578198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-21.2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</w:t>
            </w:r>
            <w:r>
              <w:rPr>
                <w:szCs w:val="21"/>
              </w:rPr>
              <w:t>#90</w:t>
            </w:r>
            <w:r>
              <w:rPr>
                <w:rFonts w:hint="eastAsia"/>
                <w:szCs w:val="21"/>
              </w:rPr>
              <w:t>平方米以下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826315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-14.9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</w:t>
            </w:r>
            <w:r>
              <w:rPr>
                <w:szCs w:val="21"/>
              </w:rPr>
              <w:t xml:space="preserve"> 144</w:t>
            </w:r>
            <w:r>
              <w:rPr>
                <w:rFonts w:hint="eastAsia"/>
                <w:szCs w:val="21"/>
              </w:rPr>
              <w:t>平方米以上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239538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1.7倍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别墅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220957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高档公寓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19237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-52.1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办公楼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254527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1.3</w:t>
            </w:r>
            <w:r>
              <w:rPr>
                <w:rFonts w:hint="eastAsia"/>
                <w:szCs w:val="21"/>
              </w:rPr>
              <w:t>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商业营业用房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258887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其他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306325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本年新增固定资产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1437808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待开发土地面积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670502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本年购置土地面积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本年土地成交价款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8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41" w:name="_Toc423699763"/>
      <w:bookmarkStart w:id="42" w:name="_Toc424197962"/>
      <w:bookmarkStart w:id="43" w:name="_Toc425143963"/>
      <w:bookmarkStart w:id="44" w:name="_Toc425427577"/>
      <w:bookmarkStart w:id="45" w:name="_Toc456185447"/>
      <w:r>
        <w:rPr>
          <w:rFonts w:hint="eastAsia" w:ascii="黑体"/>
        </w:rPr>
        <w:t>经 营 情 况 （一）</w:t>
      </w:r>
      <w:bookmarkEnd w:id="41"/>
      <w:bookmarkEnd w:id="42"/>
      <w:bookmarkEnd w:id="43"/>
      <w:bookmarkEnd w:id="44"/>
      <w:bookmarkEnd w:id="45"/>
    </w:p>
    <w:tbl>
      <w:tblPr>
        <w:tblW w:w="924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5"/>
        <w:gridCol w:w="1205"/>
        <w:gridCol w:w="2028"/>
        <w:gridCol w:w="17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225" w:type="dxa"/>
            <w:tcBorders>
              <w:top w:val="single" w:color="auto" w:sz="12" w:space="0"/>
              <w:left w:val="nil"/>
              <w:bottom w:val="single" w:color="000000" w:sz="4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205" w:type="dxa"/>
            <w:tcBorders>
              <w:top w:val="single" w:color="auto" w:sz="12" w:space="0"/>
              <w:left w:val="single" w:color="auto" w:sz="2" w:space="0"/>
              <w:bottom w:val="single" w:color="000000" w:sz="4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2028" w:type="dxa"/>
            <w:tcBorders>
              <w:top w:val="single" w:color="auto" w:sz="12" w:space="0"/>
              <w:left w:val="single" w:color="auto" w:sz="2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  <w:tc>
          <w:tcPr>
            <w:tcW w:w="1788" w:type="dxa"/>
            <w:tcBorders>
              <w:top w:val="single" w:color="auto" w:sz="12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三、资金来源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本年资金来源合计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5700132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上年末结余资金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1413836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本年资金来源小计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4286296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国内贷款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926100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利用外资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自筹资金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1001390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自有资金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364499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-25.5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　其他资金来源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2358806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定金及预付款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1554169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-10.6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个人按揭贷款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462884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四、房屋建筑、销售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施工面积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12566581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新开工面积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2282318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-18.0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竣工面积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2942426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竣工价值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1278867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现房销售面积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700012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-20.5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现房销售额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997367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期房销售面积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1555869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-0.6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期房销售额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3005513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期末出租房屋面积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40369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期末待售面积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nil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1408487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4225" w:type="dxa"/>
            <w:tcBorders>
              <w:top w:val="nil"/>
              <w:left w:val="nil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空置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年以下</w:t>
            </w:r>
          </w:p>
        </w:tc>
        <w:tc>
          <w:tcPr>
            <w:tcW w:w="1205" w:type="dxa"/>
            <w:tcBorders>
              <w:top w:val="nil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2028" w:type="dxa"/>
            <w:tcBorders>
              <w:top w:val="nil"/>
              <w:left w:val="single" w:color="auto" w:sz="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494308</w:t>
            </w:r>
          </w:p>
        </w:tc>
        <w:tc>
          <w:tcPr>
            <w:tcW w:w="178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46.4</w:t>
            </w:r>
          </w:p>
        </w:tc>
      </w:tr>
    </w:tbl>
    <w:p>
      <w:pPr>
        <w:pStyle w:val="2"/>
        <w:spacing w:before="0" w:after="0"/>
        <w:rPr>
          <w:rFonts w:ascii="黑体" w:hAnsi="宋体" w:cs="宋体"/>
        </w:rPr>
      </w:pPr>
      <w:bookmarkStart w:id="46" w:name="_Toc424197963"/>
      <w:bookmarkStart w:id="47" w:name="_Toc425143964"/>
      <w:bookmarkStart w:id="48" w:name="_Toc456185448"/>
      <w:r>
        <w:rPr>
          <w:rFonts w:hint="eastAsia" w:ascii="黑体" w:hAnsi="宋体" w:cs="宋体"/>
        </w:rPr>
        <w:t>房地产开发、经营情况（二）</w:t>
      </w:r>
      <w:bookmarkEnd w:id="46"/>
      <w:bookmarkEnd w:id="47"/>
      <w:bookmarkEnd w:id="4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7"/>
        <w:gridCol w:w="864"/>
        <w:gridCol w:w="1293"/>
        <w:gridCol w:w="1164"/>
        <w:gridCol w:w="1036"/>
        <w:gridCol w:w="1282"/>
        <w:gridCol w:w="10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557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864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293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房屋合计</w:t>
            </w:r>
          </w:p>
        </w:tc>
        <w:tc>
          <w:tcPr>
            <w:tcW w:w="4528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按用途分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557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8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住宅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办公用房</w:t>
            </w:r>
          </w:p>
        </w:tc>
        <w:tc>
          <w:tcPr>
            <w:tcW w:w="1282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商业</w:t>
            </w:r>
          </w:p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营业用房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-57" w:right="-57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其他用房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5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施工面积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12566581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9207304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460311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1178756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1720210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5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新开工面积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2282318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1538675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125371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376810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241462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5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竣工面积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2942426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2393554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3552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90325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454995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5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竣工价值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1278867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1057978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41188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177964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5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现房销售面积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700012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575001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31527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34872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5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现房销售额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997367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889138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35395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50216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22618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5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期房销售面积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1555869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1390288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56804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38089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70688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5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期房销售额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3005513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2810107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103988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62307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5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期末出租房屋面积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40369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2273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12367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25729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55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期末待售面积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1408487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610734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288918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176737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332098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255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空置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年以下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494308</w:t>
            </w:r>
          </w:p>
        </w:tc>
        <w:tc>
          <w:tcPr>
            <w:tcW w:w="1164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317883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45355</w:t>
            </w:r>
          </w:p>
        </w:tc>
        <w:tc>
          <w:tcPr>
            <w:tcW w:w="104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131070</w:t>
            </w:r>
          </w:p>
        </w:tc>
      </w:tr>
    </w:tbl>
    <w:p>
      <w:pPr>
        <w:pStyle w:val="2"/>
        <w:spacing w:before="0" w:after="0"/>
        <w:rPr>
          <w:rFonts w:ascii="黑体" w:hAnsi="宋体" w:cs="宋体"/>
        </w:rPr>
      </w:pPr>
      <w:bookmarkStart w:id="49" w:name="_Toc424197964"/>
      <w:bookmarkStart w:id="50" w:name="_Toc425143965"/>
      <w:bookmarkStart w:id="51" w:name="_Toc456185449"/>
      <w:r>
        <w:rPr>
          <w:rFonts w:hint="eastAsia" w:ascii="黑体" w:hAnsi="宋体" w:cs="宋体"/>
        </w:rPr>
        <w:t>房地产开发、经营情况（三）</w:t>
      </w:r>
      <w:bookmarkEnd w:id="49"/>
      <w:bookmarkEnd w:id="50"/>
      <w:bookmarkEnd w:id="51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2"/>
        <w:gridCol w:w="1008"/>
        <w:gridCol w:w="1226"/>
        <w:gridCol w:w="1203"/>
        <w:gridCol w:w="1070"/>
        <w:gridCol w:w="1070"/>
        <w:gridCol w:w="12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462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008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226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住宅合计</w:t>
            </w:r>
          </w:p>
        </w:tc>
        <w:tc>
          <w:tcPr>
            <w:tcW w:w="1203" w:type="dxa"/>
            <w:vMerge w:val="restart"/>
            <w:tcBorders>
              <w:top w:val="single" w:color="auto" w:sz="12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#90</w:t>
            </w:r>
            <w:r>
              <w:rPr>
                <w:rFonts w:hint="eastAsia"/>
                <w:kern w:val="0"/>
                <w:szCs w:val="21"/>
              </w:rPr>
              <w:t>平方米及以下</w:t>
            </w:r>
          </w:p>
        </w:tc>
        <w:tc>
          <w:tcPr>
            <w:tcW w:w="3343" w:type="dxa"/>
            <w:gridSpan w:val="3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按类型分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462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203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别墅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高档公寓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其他住宅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4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施工面积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9207304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5332096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272006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381894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8553404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4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新开工面积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1538675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872480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108156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56000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1374519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4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竣工面积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2393554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1344241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64646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114082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2214826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4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商品住宅竣工套数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26201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18091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25313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4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竣工价值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1057978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587428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55718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96860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905400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4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现房销售面积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575001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330967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24373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19567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531061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4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现房销售额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889138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299897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57945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65477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765716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4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现房销售套数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5834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4214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4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期房销售面积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1390288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512081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41872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55718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1292698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4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期房销售额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2810107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828448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105094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160549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2544464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4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期房销售套数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14301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6425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24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期末待售面积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610734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122668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20959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44037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545738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246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空置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年以下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317883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49083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13063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34238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270582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52" w:name="_Toc424197965"/>
      <w:bookmarkStart w:id="53" w:name="_Toc425143966"/>
      <w:bookmarkStart w:id="54" w:name="_Toc456185450"/>
      <w:r>
        <w:rPr>
          <w:rFonts w:hint="eastAsia" w:ascii="黑体"/>
        </w:rPr>
        <w:t>各 镇、街 道 房 地</w:t>
      </w:r>
      <w:bookmarkEnd w:id="52"/>
      <w:bookmarkEnd w:id="53"/>
      <w:bookmarkEnd w:id="5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8"/>
        <w:gridCol w:w="2140"/>
        <w:gridCol w:w="2172"/>
        <w:gridCol w:w="20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88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214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施工面积</w:t>
            </w:r>
          </w:p>
        </w:tc>
        <w:tc>
          <w:tcPr>
            <w:tcW w:w="217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新开工面积</w:t>
            </w:r>
          </w:p>
        </w:tc>
        <w:tc>
          <w:tcPr>
            <w:tcW w:w="204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竣工面积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12566581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2282318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2942426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12247688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szCs w:val="21"/>
              </w:rPr>
              <w:t>2282318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2733287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罗店镇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3756223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781230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952611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大场镇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2943072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421824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384407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杨行镇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1841830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632526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434268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月浦镇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300189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300189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罗泾镇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527857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173886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顾村镇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1538844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389218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329454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高境镇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439254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庙行镇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683537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57520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158472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淞南镇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216882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友谊路街道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吴淞街道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张庙街道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三、城市工业园区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88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四、宝山工业园区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318893</w:t>
            </w:r>
          </w:p>
        </w:tc>
        <w:tc>
          <w:tcPr>
            <w:tcW w:w="217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204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209139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55" w:name="_Toc423699767"/>
      <w:bookmarkStart w:id="56" w:name="_Toc424197966"/>
      <w:bookmarkStart w:id="57" w:name="_Toc425143967"/>
      <w:bookmarkStart w:id="58" w:name="_Toc425427581"/>
      <w:bookmarkStart w:id="59" w:name="_Toc456185451"/>
      <w:r>
        <w:rPr>
          <w:rFonts w:hint="eastAsia" w:ascii="黑体"/>
        </w:rPr>
        <w:t>产 开 发 经 营 情 况</w:t>
      </w:r>
      <w:bookmarkEnd w:id="55"/>
      <w:bookmarkEnd w:id="56"/>
      <w:bookmarkEnd w:id="57"/>
      <w:bookmarkEnd w:id="58"/>
      <w:bookmarkEnd w:id="5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1899"/>
        <w:gridCol w:w="1752"/>
        <w:gridCol w:w="1899"/>
        <w:gridCol w:w="19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839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175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住宅</w:t>
            </w:r>
          </w:p>
        </w:tc>
        <w:tc>
          <w:tcPr>
            <w:tcW w:w="189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销售面积</w:t>
            </w:r>
          </w:p>
        </w:tc>
        <w:tc>
          <w:tcPr>
            <w:tcW w:w="175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住宅</w:t>
            </w:r>
          </w:p>
        </w:tc>
        <w:tc>
          <w:tcPr>
            <w:tcW w:w="189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销售额</w:t>
            </w:r>
          </w:p>
        </w:tc>
        <w:tc>
          <w:tcPr>
            <w:tcW w:w="194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住宅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2393554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2255881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1965289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4002880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3699245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2217484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2247676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1963451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3989661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3694915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816849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641924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593344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768005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707255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271328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469118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423883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1244239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1215705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409517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521436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406809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649984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586507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236233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63149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61777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84790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126453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41773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41017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50373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50305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257799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206269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148595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509795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404924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133860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133860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447206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447206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99305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150953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136180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175857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142495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19194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17986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59412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56493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8205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1838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13219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4330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1525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1510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4040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6680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328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9179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7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176070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189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60" w:name="_Toc424197967"/>
      <w:bookmarkStart w:id="61" w:name="_Toc425143968"/>
      <w:bookmarkStart w:id="62" w:name="_Toc456185452"/>
      <w:r>
        <w:rPr>
          <w:rFonts w:hint="eastAsia" w:ascii="黑体"/>
        </w:rPr>
        <w:t>房  地  产  开  发  企</w:t>
      </w:r>
      <w:bookmarkEnd w:id="60"/>
      <w:bookmarkEnd w:id="61"/>
      <w:bookmarkEnd w:id="6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2"/>
        <w:gridCol w:w="39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27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97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一、单位数</w:t>
            </w:r>
          </w:p>
        </w:tc>
        <w:tc>
          <w:tcPr>
            <w:tcW w:w="397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二、期末资产负债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流动资产合计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15857427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　　 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应收账款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384643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存货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7146844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货币资金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655893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短期投资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长期投资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1036162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投资性房地产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160617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固定资产合计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305772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固定资产原价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320447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累计折旧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84358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本年折旧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-10154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在建工程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242518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无形资产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资产总计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18034628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流动负债合计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10926993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#</w:t>
            </w:r>
            <w:r>
              <w:rPr>
                <w:rFonts w:hint="eastAsia"/>
                <w:szCs w:val="21"/>
              </w:rPr>
              <w:t>应付账款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658378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非流动负责合计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2402359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负债合计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13329337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所有者权益合计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4705291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实收资本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2003631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三、损益及分配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营业收入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3095243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527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#</w:t>
            </w:r>
            <w:r>
              <w:rPr>
                <w:rFonts w:hint="eastAsia"/>
                <w:szCs w:val="21"/>
              </w:rPr>
              <w:t>主营业务收入</w:t>
            </w:r>
          </w:p>
        </w:tc>
        <w:tc>
          <w:tcPr>
            <w:tcW w:w="39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3092333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63" w:name="_Toc423699769"/>
      <w:bookmarkStart w:id="64" w:name="_Toc424197968"/>
      <w:bookmarkStart w:id="65" w:name="_Toc425143969"/>
      <w:bookmarkStart w:id="66" w:name="_Toc425427583"/>
      <w:bookmarkStart w:id="67" w:name="_Toc456185453"/>
      <w:r>
        <w:rPr>
          <w:rFonts w:hint="eastAsia" w:ascii="黑体"/>
        </w:rPr>
        <w:t>业  财  务  状  况</w:t>
      </w:r>
      <w:bookmarkEnd w:id="63"/>
      <w:bookmarkEnd w:id="64"/>
      <w:bookmarkEnd w:id="65"/>
      <w:bookmarkEnd w:id="66"/>
      <w:bookmarkEnd w:id="6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8"/>
        <w:gridCol w:w="39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97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26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97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土地转让收入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商品房销售收入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2709994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房屋出租收入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44914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其他收入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334373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营业成本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2172228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主营业务成本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2151722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营业税金及附加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284531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主营业务税金及附加</w:t>
            </w:r>
          </w:p>
        </w:tc>
        <w:tc>
          <w:tcPr>
            <w:tcW w:w="397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277743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其他业务利润</w:t>
            </w:r>
          </w:p>
        </w:tc>
        <w:tc>
          <w:tcPr>
            <w:tcW w:w="397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销售费用</w:t>
            </w:r>
          </w:p>
        </w:tc>
        <w:tc>
          <w:tcPr>
            <w:tcW w:w="3974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管理费用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90658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　　 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税金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财务费用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40636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资产减值损失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公允价值变动收益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投资收益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108831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营业利润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531612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营业外收入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营业外支出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18379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利润总额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517435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  应交所得税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96914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四、人工成本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应付职工薪酬</w:t>
            </w:r>
          </w:p>
        </w:tc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48047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26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五、从业人员期末人数</w:t>
            </w:r>
          </w:p>
        </w:tc>
        <w:tc>
          <w:tcPr>
            <w:tcW w:w="397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2523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68" w:name="_Toc424197969"/>
      <w:bookmarkStart w:id="69" w:name="_Toc425143970"/>
      <w:bookmarkStart w:id="70" w:name="_Toc456185454"/>
      <w:r>
        <w:rPr>
          <w:rFonts w:hint="eastAsia" w:ascii="黑体"/>
        </w:rPr>
        <w:t>各镇、街道商品房期房交易</w:t>
      </w:r>
      <w:bookmarkEnd w:id="68"/>
      <w:bookmarkEnd w:id="69"/>
      <w:bookmarkEnd w:id="7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5"/>
        <w:gridCol w:w="2013"/>
        <w:gridCol w:w="2066"/>
        <w:gridCol w:w="21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005" w:type="dxa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201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交易套数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（套）</w:t>
            </w:r>
          </w:p>
        </w:tc>
        <w:tc>
          <w:tcPr>
            <w:tcW w:w="206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交易面积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（万平方米）</w:t>
            </w:r>
          </w:p>
        </w:tc>
        <w:tc>
          <w:tcPr>
            <w:tcW w:w="215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交易金额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01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11996</w:t>
            </w:r>
          </w:p>
        </w:tc>
        <w:tc>
          <w:tcPr>
            <w:tcW w:w="206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113.53</w:t>
            </w:r>
          </w:p>
        </w:tc>
        <w:tc>
          <w:tcPr>
            <w:tcW w:w="215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2709776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3050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23.72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282594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3190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32.57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923304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1990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20.68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497659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588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4.88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74464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146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1.45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20377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1055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10.58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293278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1191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12.81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423939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528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4.36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111698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258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2.48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82463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友谊路街道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吴淞街道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300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张庙街道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84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spacing w:before="60"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eastAsia="楷体_GB2312"/>
                <w:kern w:val="0"/>
                <w:szCs w:val="21"/>
              </w:rPr>
              <w:t>P</w:t>
            </w:r>
            <w:r>
              <w:rPr>
                <w:rFonts w:hint="eastAsia" w:eastAsia="楷体_GB2312"/>
                <w:kern w:val="0"/>
                <w:szCs w:val="21"/>
              </w:rPr>
              <w:t>194</w:t>
            </w:r>
            <w:r>
              <w:rPr>
                <w:rFonts w:eastAsia="楷体_GB2312"/>
                <w:kern w:val="0"/>
                <w:szCs w:val="21"/>
              </w:rPr>
              <w:t>-P</w:t>
            </w:r>
            <w:r>
              <w:rPr>
                <w:rFonts w:hint="eastAsia" w:eastAsia="楷体_GB2312"/>
                <w:kern w:val="0"/>
                <w:szCs w:val="21"/>
              </w:rPr>
              <w:t>196</w:t>
            </w:r>
            <w:r>
              <w:rPr>
                <w:rFonts w:hint="eastAsia" w:eastAsia="楷体_GB2312" w:cs="宋体"/>
                <w:kern w:val="0"/>
                <w:szCs w:val="21"/>
              </w:rPr>
              <w:t>由区住房保障和房屋管理局提供。</w:t>
            </w:r>
          </w:p>
        </w:tc>
        <w:tc>
          <w:tcPr>
            <w:tcW w:w="215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黑体"/>
        </w:rPr>
      </w:pPr>
      <w:bookmarkStart w:id="71" w:name="_Toc424197970"/>
      <w:bookmarkStart w:id="72" w:name="_Toc425143971"/>
      <w:bookmarkStart w:id="73" w:name="_Toc456185455"/>
      <w:r>
        <w:rPr>
          <w:rFonts w:hint="eastAsia" w:ascii="黑体"/>
        </w:rPr>
        <w:t>各镇、街道商品房现房交易</w:t>
      </w:r>
      <w:bookmarkEnd w:id="71"/>
      <w:bookmarkEnd w:id="72"/>
      <w:bookmarkEnd w:id="7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  <w:gridCol w:w="2123"/>
        <w:gridCol w:w="1934"/>
        <w:gridCol w:w="21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030" w:type="dxa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2123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交易套数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（套）</w:t>
            </w:r>
          </w:p>
        </w:tc>
        <w:tc>
          <w:tcPr>
            <w:tcW w:w="1934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交易面积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（万平方米）</w:t>
            </w:r>
          </w:p>
        </w:tc>
        <w:tc>
          <w:tcPr>
            <w:tcW w:w="215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交易金额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Cs w:val="21"/>
              </w:rPr>
            </w:pPr>
            <w:r>
              <w:rPr>
                <w:rFonts w:ascii="Arial" w:hAnsi="Arial" w:eastAsia="黑体" w:cs="Arial"/>
                <w:b/>
                <w:bCs/>
                <w:szCs w:val="21"/>
              </w:rPr>
              <w:t>13576</w:t>
            </w:r>
          </w:p>
        </w:tc>
        <w:tc>
          <w:tcPr>
            <w:tcW w:w="193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Cs w:val="21"/>
              </w:rPr>
            </w:pPr>
            <w:r>
              <w:rPr>
                <w:rFonts w:ascii="Arial" w:hAnsi="Arial" w:eastAsia="黑体" w:cs="Arial"/>
                <w:b/>
                <w:bCs/>
                <w:szCs w:val="21"/>
              </w:rPr>
              <w:t>108.02</w:t>
            </w:r>
          </w:p>
        </w:tc>
        <w:tc>
          <w:tcPr>
            <w:tcW w:w="215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Cs w:val="21"/>
              </w:rPr>
            </w:pPr>
            <w:r>
              <w:rPr>
                <w:rFonts w:ascii="Arial" w:hAnsi="Arial" w:eastAsia="黑体" w:cs="Arial"/>
                <w:b/>
                <w:bCs/>
                <w:szCs w:val="21"/>
              </w:rPr>
              <w:t>1224190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2025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17.00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167719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2649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16.44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318150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2747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24.45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195603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508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3.66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40537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679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6.32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54599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3743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30.82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289341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607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3.59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50914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210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1.66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25046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0.21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友谊路街道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0.04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吴淞街道</w:t>
            </w:r>
          </w:p>
        </w:tc>
        <w:tc>
          <w:tcPr>
            <w:tcW w:w="212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232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2.96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57228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303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张庙街道</w:t>
            </w:r>
          </w:p>
        </w:tc>
        <w:tc>
          <w:tcPr>
            <w:tcW w:w="212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120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0.87</w:t>
            </w:r>
          </w:p>
        </w:tc>
        <w:tc>
          <w:tcPr>
            <w:tcW w:w="215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20915</w:t>
            </w:r>
          </w:p>
        </w:tc>
      </w:tr>
    </w:tbl>
    <w:p/>
    <w:p>
      <w:pPr>
        <w:pStyle w:val="2"/>
        <w:spacing w:before="0" w:after="0"/>
        <w:rPr>
          <w:rFonts w:ascii="黑体"/>
        </w:rPr>
      </w:pPr>
      <w:bookmarkStart w:id="74" w:name="_Toc424197971"/>
      <w:bookmarkStart w:id="75" w:name="_Toc425143972"/>
      <w:bookmarkStart w:id="76" w:name="_Toc456185456"/>
      <w:r>
        <w:rPr>
          <w:rFonts w:hint="eastAsia" w:ascii="黑体"/>
        </w:rPr>
        <w:t>各镇、街道存量房交易情况</w:t>
      </w:r>
      <w:bookmarkEnd w:id="74"/>
      <w:bookmarkEnd w:id="75"/>
      <w:bookmarkEnd w:id="7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3"/>
        <w:gridCol w:w="2046"/>
        <w:gridCol w:w="1968"/>
        <w:gridCol w:w="21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033" w:type="dxa"/>
            <w:tcBorders>
              <w:top w:val="single" w:color="auto" w:sz="12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2046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交易套数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（套）</w:t>
            </w:r>
          </w:p>
        </w:tc>
        <w:tc>
          <w:tcPr>
            <w:tcW w:w="196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交易面积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（万平方米）</w:t>
            </w:r>
          </w:p>
        </w:tc>
        <w:tc>
          <w:tcPr>
            <w:tcW w:w="219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交易金额</w:t>
            </w:r>
          </w:p>
          <w:p>
            <w:pPr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0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046" w:type="dxa"/>
            <w:tcBorders>
              <w:top w:val="single" w:color="auto" w:sz="4" w:space="0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33110</w:t>
            </w:r>
          </w:p>
        </w:tc>
        <w:tc>
          <w:tcPr>
            <w:tcW w:w="196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259.26</w:t>
            </w:r>
          </w:p>
        </w:tc>
        <w:tc>
          <w:tcPr>
            <w:tcW w:w="219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4836583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0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1385</w:t>
            </w:r>
          </w:p>
        </w:tc>
        <w:tc>
          <w:tcPr>
            <w:tcW w:w="19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12.18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176304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0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5547</w:t>
            </w:r>
          </w:p>
        </w:tc>
        <w:tc>
          <w:tcPr>
            <w:tcW w:w="19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48.39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1103759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0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3111</w:t>
            </w:r>
          </w:p>
        </w:tc>
        <w:tc>
          <w:tcPr>
            <w:tcW w:w="19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28.36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472403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0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月浦镇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2727</w:t>
            </w:r>
          </w:p>
        </w:tc>
        <w:tc>
          <w:tcPr>
            <w:tcW w:w="19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19.05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253498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0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罗泾镇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581</w:t>
            </w:r>
          </w:p>
        </w:tc>
        <w:tc>
          <w:tcPr>
            <w:tcW w:w="19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7.62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45864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0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5719</w:t>
            </w:r>
          </w:p>
        </w:tc>
        <w:tc>
          <w:tcPr>
            <w:tcW w:w="19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47.97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878145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0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2432</w:t>
            </w:r>
          </w:p>
        </w:tc>
        <w:tc>
          <w:tcPr>
            <w:tcW w:w="19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18.07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417339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0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2310</w:t>
            </w:r>
          </w:p>
        </w:tc>
        <w:tc>
          <w:tcPr>
            <w:tcW w:w="19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19.41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404490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0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1515</w:t>
            </w:r>
          </w:p>
        </w:tc>
        <w:tc>
          <w:tcPr>
            <w:tcW w:w="19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10.66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226188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0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友谊路街道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2392</w:t>
            </w:r>
          </w:p>
        </w:tc>
        <w:tc>
          <w:tcPr>
            <w:tcW w:w="19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13.86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267018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0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吴淞街道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2460</w:t>
            </w:r>
          </w:p>
        </w:tc>
        <w:tc>
          <w:tcPr>
            <w:tcW w:w="1968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16.98</w:t>
            </w: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240029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033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张庙街道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2931</w:t>
            </w:r>
          </w:p>
        </w:tc>
        <w:tc>
          <w:tcPr>
            <w:tcW w:w="1968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16.71</w:t>
            </w:r>
          </w:p>
        </w:tc>
        <w:tc>
          <w:tcPr>
            <w:tcW w:w="219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351546</w:t>
            </w:r>
          </w:p>
        </w:tc>
      </w:tr>
    </w:tbl>
    <w:p>
      <w:pPr>
        <w:rPr>
          <w:szCs w:val="21"/>
        </w:rPr>
      </w:pPr>
    </w:p>
    <w:sectPr>
      <w:headerReference r:id="rId10" w:type="default"/>
      <w:headerReference r:id="rId11" w:type="even"/>
      <w:pgSz w:w="10433" w:h="14742"/>
      <w:pgMar w:top="1474" w:right="1021" w:bottom="1134" w:left="1021" w:header="680" w:footer="79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253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252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50</w:t>
    </w:r>
    <w:r>
      <w:rPr>
        <w:rStyle w:val="17"/>
      </w:rPr>
      <w:fldChar w:fldCharType="end"/>
    </w:r>
  </w:p>
  <w:p>
    <w:pPr>
      <w:pStyle w:val="9"/>
      <w:ind w:right="360" w:firstLine="360"/>
    </w:pPr>
    <w:bookmarkStart w:id="77" w:name="_GoBack"/>
    <w:bookmarkEnd w:id="77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5" o:spid="_x0000_s1025" style="position:absolute;left:0;margin-left:272.3pt;margin-top:16.75pt;height:0.05pt;width:175.75pt;rotation:0f;z-index:251667456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交运仓储、批发零售业、服务业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6" o:spid="_x0000_s1026" style="position:absolute;left:0;flip:y;margin-left:-20.7pt;margin-top:16.15pt;height:0.05pt;width:175.45pt;rotation:0f;z-index:251668480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交运仓储、批发零售业、服务业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8" o:spid="_x0000_s1027" style="position:absolute;left:0;margin-left:285.3pt;margin-top:16.75pt;height:0.05pt;width:162.75pt;rotation:0f;z-index:251670528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固定资产投资、房地产业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7" o:spid="_x0000_s1028" style="position:absolute;left:0;margin-left:-20.7pt;margin-top:17.2pt;height:0.05pt;width:162.45pt;rotation:0f;z-index:251669504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固定资产投资、房地产业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0" w:after="400" w:line="360" w:lineRule="auto"/>
      <w:jc w:val="center"/>
      <w:outlineLvl w:val="0"/>
    </w:pPr>
    <w:rPr>
      <w:rFonts w:eastAsia="黑体"/>
      <w:bCs/>
      <w:snapToGrid w:val="0"/>
      <w:kern w:val="0"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00" w:after="100" w:line="360" w:lineRule="auto"/>
      <w:ind w:firstLine="482"/>
      <w:outlineLvl w:val="1"/>
    </w:pPr>
    <w:rPr>
      <w:rFonts w:eastAsia="黑体"/>
      <w:bCs/>
      <w:snapToGrid w:val="0"/>
      <w:kern w:val="0"/>
      <w:sz w:val="28"/>
      <w:szCs w:val="28"/>
    </w:rPr>
  </w:style>
  <w:style w:type="paragraph" w:styleId="4">
    <w:name w:val="heading 3"/>
    <w:basedOn w:val="1"/>
    <w:qFormat/>
    <w:uiPriority w:val="0"/>
    <w:pPr>
      <w:widowControl/>
      <w:spacing w:before="120" w:after="60" w:line="360" w:lineRule="auto"/>
      <w:ind w:firstLine="482"/>
      <w:outlineLvl w:val="2"/>
    </w:pPr>
    <w:rPr>
      <w:rFonts w:eastAsia="黑体" w:cs="宋体"/>
      <w:bCs/>
      <w:snapToGrid w:val="0"/>
      <w:kern w:val="0"/>
      <w:sz w:val="24"/>
    </w:rPr>
  </w:style>
  <w:style w:type="character" w:default="1" w:styleId="15">
    <w:name w:val="Default Paragraph Font"/>
    <w:semiHidden/>
    <w:unhideWhenUsed/>
    <w:uiPriority w:val="1"/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Date"/>
    <w:basedOn w:val="1"/>
    <w:next w:val="1"/>
    <w:uiPriority w:val="0"/>
    <w:pPr>
      <w:ind w:left="100" w:leftChars="2500"/>
    </w:pPr>
  </w:style>
  <w:style w:type="paragraph" w:styleId="7">
    <w:name w:val="endnote text"/>
    <w:basedOn w:val="1"/>
    <w:link w:val="27"/>
    <w:uiPriority w:val="0"/>
    <w:pPr>
      <w:snapToGrid w:val="0"/>
      <w:jc w:val="left"/>
    </w:pPr>
  </w:style>
  <w:style w:type="paragraph" w:styleId="8">
    <w:name w:val="Balloon Text"/>
    <w:basedOn w:val="1"/>
    <w:link w:val="28"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iPriority w:val="39"/>
    <w:pPr>
      <w:tabs>
        <w:tab w:val="right" w:leader="middleDot" w:pos="8381"/>
      </w:tabs>
      <w:spacing w:line="324" w:lineRule="auto"/>
    </w:pPr>
  </w:style>
  <w:style w:type="paragraph" w:styleId="12">
    <w:name w:val="footnote text"/>
    <w:basedOn w:val="1"/>
    <w:link w:val="29"/>
    <w:semiHidden/>
    <w:uiPriority w:val="0"/>
    <w:pPr>
      <w:snapToGrid w:val="0"/>
      <w:jc w:val="left"/>
    </w:pPr>
    <w:rPr>
      <w:sz w:val="18"/>
      <w:szCs w:val="18"/>
    </w:rPr>
  </w:style>
  <w:style w:type="paragraph" w:styleId="13">
    <w:name w:val="toc 2"/>
    <w:basedOn w:val="1"/>
    <w:next w:val="1"/>
    <w:uiPriority w:val="39"/>
    <w:pPr>
      <w:tabs>
        <w:tab w:val="right" w:leader="middleDot" w:pos="8381"/>
      </w:tabs>
      <w:spacing w:before="300" w:after="60" w:line="360" w:lineRule="auto"/>
      <w:jc w:val="center"/>
    </w:pPr>
    <w:rPr>
      <w:rFonts w:ascii="方正大标宋简体" w:eastAsia="方正大标宋简体"/>
      <w:sz w:val="28"/>
      <w:szCs w:val="28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6">
    <w:name w:val="endnote reference"/>
    <w:basedOn w:val="15"/>
    <w:uiPriority w:val="0"/>
    <w:rPr>
      <w:vertAlign w:val="superscript"/>
    </w:rPr>
  </w:style>
  <w:style w:type="character" w:styleId="17">
    <w:name w:val="page number"/>
    <w:basedOn w:val="15"/>
    <w:uiPriority w:val="0"/>
    <w:rPr/>
  </w:style>
  <w:style w:type="character" w:styleId="18">
    <w:name w:val="Hyperlink"/>
    <w:basedOn w:val="15"/>
    <w:uiPriority w:val="99"/>
    <w:rPr>
      <w:color w:val="0000FF"/>
      <w:u w:val="single"/>
    </w:rPr>
  </w:style>
  <w:style w:type="paragraph" w:customStyle="1" w:styleId="19">
    <w:name w:val="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0">
    <w:name w:val="样式1"/>
    <w:basedOn w:val="1"/>
    <w:uiPriority w:val="0"/>
    <w:pPr>
      <w:adjustRightInd w:val="0"/>
      <w:snapToGrid w:val="0"/>
      <w:spacing w:line="360" w:lineRule="auto"/>
      <w:jc w:val="center"/>
    </w:pPr>
    <w:rPr>
      <w:b/>
      <w:snapToGrid w:val="0"/>
      <w:color w:val="000000"/>
      <w:kern w:val="0"/>
      <w:szCs w:val="21"/>
    </w:rPr>
  </w:style>
  <w:style w:type="paragraph" w:customStyle="1" w:styleId="21">
    <w:name w:val="Char"/>
    <w:basedOn w:val="1"/>
    <w:uiPriority w:val="0"/>
    <w:rPr>
      <w:rFonts w:eastAsia="仿宋_GB2312"/>
      <w:sz w:val="32"/>
      <w:szCs w:val="20"/>
    </w:rPr>
  </w:style>
  <w:style w:type="paragraph" w:customStyle="1" w:styleId="22">
    <w:name w:val="默认段落字体 Para Char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3">
    <w:name w:val="Char1"/>
    <w:basedOn w:val="1"/>
    <w:uiPriority w:val="0"/>
    <w:pPr>
      <w:spacing w:line="360" w:lineRule="auto"/>
      <w:ind w:firstLine="210"/>
      <w:jc w:val="left"/>
    </w:pPr>
    <w:rPr>
      <w:rFonts w:eastAsia="仿宋_GB2312"/>
      <w:sz w:val="24"/>
    </w:rPr>
  </w:style>
  <w:style w:type="paragraph" w:customStyle="1" w:styleId="24">
    <w:name w:val="Char Char Char Char Char Char Char Char Char"/>
    <w:basedOn w:val="1"/>
    <w:uiPriority w:val="0"/>
    <w:pPr>
      <w:widowControl/>
      <w:jc w:val="left"/>
    </w:pPr>
    <w:rPr>
      <w:kern w:val="0"/>
      <w:sz w:val="20"/>
      <w:szCs w:val="20"/>
    </w:rPr>
  </w:style>
  <w:style w:type="paragraph" w:customStyle="1" w:styleId="25">
    <w:name w:val="Char Char Char Char1"/>
    <w:basedOn w:val="1"/>
    <w:uiPriority w:val="0"/>
    <w:rPr>
      <w:rFonts w:ascii="Tahoma" w:hAnsi="Tahoma"/>
      <w:sz w:val="24"/>
      <w:szCs w:val="20"/>
    </w:rPr>
  </w:style>
  <w:style w:type="paragraph" w:customStyle="1" w:styleId="26">
    <w:name w:val="Char Char1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4"/>
      <w:szCs w:val="21"/>
      <w:lang w:eastAsia="en-US"/>
    </w:rPr>
  </w:style>
  <w:style w:type="character" w:customStyle="1" w:styleId="27">
    <w:name w:val="尾注文本 Char"/>
    <w:basedOn w:val="15"/>
    <w:link w:val="7"/>
    <w:uiPriority w:val="0"/>
    <w:rPr>
      <w:kern w:val="2"/>
      <w:sz w:val="21"/>
      <w:szCs w:val="24"/>
    </w:rPr>
  </w:style>
  <w:style w:type="character" w:customStyle="1" w:styleId="28">
    <w:name w:val="批注框文本 Char"/>
    <w:basedOn w:val="15"/>
    <w:link w:val="8"/>
    <w:uiPriority w:val="0"/>
    <w:rPr>
      <w:kern w:val="2"/>
      <w:sz w:val="18"/>
      <w:szCs w:val="18"/>
    </w:rPr>
  </w:style>
  <w:style w:type="character" w:customStyle="1" w:styleId="29">
    <w:name w:val="脚注文本 Char"/>
    <w:basedOn w:val="15"/>
    <w:link w:val="12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0">
    <w:name w:val="description"/>
    <w:basedOn w:val="15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header" Target="header4.xml"/><Relationship Id="rId11" Type="http://schemas.openxmlformats.org/officeDocument/2006/relationships/header" Target="header5.xml"/><Relationship Id="rId12" Type="http://schemas.openxmlformats.org/officeDocument/2006/relationships/theme" Target="theme/theme1.xml"/><Relationship Id="rId13" Type="http://schemas.openxmlformats.org/officeDocument/2006/relationships/image" Target="media/image1.png"/><Relationship Id="rId14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297</Pages>
  <Words>23297</Words>
  <Characters>132795</Characters>
  <Lines>1106</Lines>
  <Paragraphs>311</Paragraphs>
  <TotalTime>0</TotalTime>
  <ScaleCrop>false</ScaleCrop>
  <LinksUpToDate>false</LinksUpToDate>
  <CharactersWithSpaces>0</CharactersWithSpaces>
  <Application>WPS Office 个人版_9.1.0.4555_{F1E327BC-269C-435d-A152-05C5408002CA}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2016-07-02T02:16:00Z</dcterms:created>
  <dc:creator>User</dc:creator>
  <cp:lastModifiedBy>tjj</cp:lastModifiedBy>
  <cp:lastPrinted>2016-07-13T07:04:00Z</cp:lastPrinted>
  <dcterms:modified xsi:type="dcterms:W3CDTF">2016-10-17T02:38:43Z</dcterms:modified>
  <dc:title>宝山统计资料汇编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