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header+xml" PartName="/word/header4.xml"/>
  <Override ContentType="application/vnd.openxmlformats-officedocument.wordprocessingml.header+xml" PartName="/word/header5.xml"/>
  <Override ContentType="application/vnd.openxmlformats-officedocument.wordprocessingml.header+xml" PartName="/word/header6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</w:p>
    <w:p>
      <w:pPr>
        <w:spacing w:line="343" w:lineRule="auto"/>
      </w:pPr>
      <w:r>
        <w:rPr>
          <w:rFonts w:ascii="方正大标宋简体" w:hAnsi="Times New Roman" w:eastAsia="方正大标宋简体" w:cs="Times New Roman"/>
          <w:kern w:val="2"/>
          <w:sz w:val="56"/>
          <w:szCs w:val="72"/>
          <w:lang w:val="en-US" w:eastAsia="zh-CN" w:bidi="ar-SA"/>
        </w:rPr>
        <w:pict>
          <v:shape id="_x0000_s1692" o:spid="_x0000_s1030" type="#_x0000_t202" style="position:absolute;left:0;margin-left:-23.75pt;margin-top:10.75pt;height:67.95pt;width:467.7pt;rotation:0f;z-index:-251654144;" o:ole="f" fillcolor="#969696" filled="t" o:preferrelative="t" stroked="f" coordorigin="0,0" coordsize="21600,21600">
            <v:imagedata gain="65536f" blacklevel="0f" gamma="0"/>
            <o:lock v:ext="edit" position="f" selection="f" grouping="f" rotation="f" cropping="f" text="f" aspectratio="f"/>
            <v:textbox>
              <w:txbxContent>
                <w:p/>
              </w:txbxContent>
            </v:textbox>
          </v:shape>
        </w:pict>
      </w:r>
    </w:p>
    <w:p>
      <w:pPr>
        <w:pStyle w:val="3"/>
        <w:spacing w:line="240" w:lineRule="auto"/>
        <w:ind w:firstLine="0"/>
        <w:jc w:val="center"/>
        <w:rPr>
          <w:rFonts w:ascii="方正大标宋简体" w:eastAsia="方正大标宋简体"/>
          <w:spacing w:val="-18"/>
          <w:sz w:val="56"/>
          <w:szCs w:val="56"/>
        </w:rPr>
      </w:pPr>
      <w:bookmarkStart w:id="0" w:name="_Toc424197915"/>
      <w:bookmarkStart w:id="1" w:name="_Toc456185404"/>
      <w:r>
        <w:rPr>
          <w:rFonts w:hint="eastAsia" w:ascii="方正大标宋简体" w:eastAsia="方正大标宋简体"/>
          <w:spacing w:val="-18"/>
          <w:sz w:val="56"/>
          <w:szCs w:val="56"/>
        </w:rPr>
        <w:t>五、交运仓储、批发零售业</w:t>
      </w:r>
      <w:bookmarkEnd w:id="0"/>
      <w:r>
        <w:rPr>
          <w:rFonts w:hint="eastAsia" w:ascii="方正大标宋简体" w:eastAsia="方正大标宋简体"/>
          <w:spacing w:val="-18"/>
          <w:sz w:val="56"/>
          <w:szCs w:val="56"/>
        </w:rPr>
        <w:t>、服务业</w:t>
      </w:r>
      <w:bookmarkEnd w:id="1"/>
    </w:p>
    <w:p/>
    <w:p/>
    <w:p>
      <w:pPr>
        <w:sectPr>
          <w:headerReference r:id="rId6" w:type="first"/>
          <w:headerReference r:id="rId4" w:type="default"/>
          <w:footerReference r:id="rId7" w:type="default"/>
          <w:headerReference r:id="rId5" w:type="even"/>
          <w:footerReference r:id="rId8" w:type="even"/>
          <w:pgSz w:w="10433" w:h="14742"/>
          <w:pgMar w:top="1474" w:right="1021" w:bottom="1134" w:left="1021" w:header="680" w:footer="794" w:gutter="0"/>
          <w:cols w:space="720" w:num="1"/>
          <w:titlePg/>
          <w:docGrid w:linePitch="312" w:charSpace="0"/>
        </w:sectPr>
      </w:pPr>
    </w:p>
    <w:p>
      <w:pPr>
        <w:pStyle w:val="2"/>
        <w:spacing w:before="0" w:after="0"/>
        <w:jc w:val="right"/>
        <w:rPr>
          <w:rFonts w:ascii="黑体"/>
        </w:rPr>
      </w:pPr>
      <w:bookmarkStart w:id="2" w:name="_Toc424197916"/>
      <w:bookmarkStart w:id="3" w:name="_Toc425143920"/>
      <w:bookmarkStart w:id="4" w:name="_Toc456185405"/>
      <w:r>
        <w:rPr>
          <w:rFonts w:hint="eastAsia" w:ascii="黑体"/>
        </w:rPr>
        <w:t>交 通 运 输、仓</w:t>
      </w:r>
      <w:bookmarkEnd w:id="2"/>
      <w:bookmarkEnd w:id="3"/>
      <w:bookmarkEnd w:id="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2"/>
        <w:gridCol w:w="1554"/>
        <w:gridCol w:w="111"/>
        <w:gridCol w:w="1591"/>
        <w:gridCol w:w="74"/>
        <w:gridCol w:w="1628"/>
        <w:gridCol w:w="37"/>
        <w:gridCol w:w="16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58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166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单位数（户）</w:t>
            </w:r>
          </w:p>
        </w:tc>
        <w:tc>
          <w:tcPr>
            <w:tcW w:w="166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交通运输业</w:t>
            </w:r>
          </w:p>
        </w:tc>
        <w:tc>
          <w:tcPr>
            <w:tcW w:w="166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装卸搬运和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运输代理业</w:t>
            </w:r>
          </w:p>
        </w:tc>
        <w:tc>
          <w:tcPr>
            <w:tcW w:w="166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仓储业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162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129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28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14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258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</w:t>
            </w:r>
          </w:p>
        </w:tc>
        <w:tc>
          <w:tcPr>
            <w:tcW w:w="166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</w:tbl>
    <w:p>
      <w:pPr>
        <w:widowControl/>
        <w:ind w:left="-315" w:right="-372"/>
        <w:rPr>
          <w:rFonts w:ascii="楷体_GB2312" w:eastAsia="楷体_GB2312" w:cs="宋体"/>
          <w:kern w:val="0"/>
          <w:szCs w:val="21"/>
        </w:rPr>
      </w:pPr>
      <w:r>
        <w:rPr>
          <w:rFonts w:hint="eastAsia" w:ascii="楷体_GB2312" w:eastAsia="楷体_GB2312" w:cs="宋体"/>
          <w:kern w:val="0"/>
          <w:szCs w:val="21"/>
        </w:rPr>
        <w:t>注：统计范围为年末从业人数50人及以上或营业收入1000万元及以上的法人单位及所属的从事</w:t>
      </w:r>
    </w:p>
    <w:p>
      <w:pPr>
        <w:pStyle w:val="2"/>
        <w:spacing w:before="0" w:after="0"/>
        <w:jc w:val="both"/>
        <w:rPr>
          <w:rFonts w:ascii="黑体"/>
        </w:rPr>
      </w:pPr>
      <w:bookmarkStart w:id="5" w:name="_Toc423699720"/>
      <w:bookmarkStart w:id="6" w:name="_Toc424197917"/>
      <w:bookmarkStart w:id="7" w:name="_Toc425143921"/>
      <w:bookmarkStart w:id="8" w:name="_Toc425427534"/>
      <w:bookmarkStart w:id="9" w:name="_Toc456185406"/>
      <w:r>
        <w:rPr>
          <w:rFonts w:hint="eastAsia" w:ascii="黑体"/>
        </w:rPr>
        <w:t>储 业 基 本 情 况</w:t>
      </w:r>
      <w:bookmarkEnd w:id="5"/>
      <w:bookmarkEnd w:id="6"/>
      <w:bookmarkEnd w:id="7"/>
      <w:bookmarkEnd w:id="8"/>
      <w:bookmarkEnd w:id="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2282"/>
        <w:gridCol w:w="2600"/>
        <w:gridCol w:w="19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36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2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363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营业收入</w:t>
            </w:r>
          </w:p>
        </w:tc>
        <w:tc>
          <w:tcPr>
            <w:tcW w:w="2282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交通运输业</w:t>
            </w:r>
          </w:p>
        </w:tc>
        <w:tc>
          <w:tcPr>
            <w:tcW w:w="260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装卸搬运和</w:t>
            </w:r>
          </w:p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运输代理业</w:t>
            </w:r>
          </w:p>
        </w:tc>
        <w:tc>
          <w:tcPr>
            <w:tcW w:w="199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仓储业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1026397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600199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224719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192780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778620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504674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92323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172923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17695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15202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88244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77650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285976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179314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23045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83618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51933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46143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1634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23250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4633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11829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6787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40760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9563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23265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7932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77098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45935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19538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11625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12549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3416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434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181116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122817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12578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45720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235971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86095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130020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19857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145681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57470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88212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80540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22803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41808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2363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9750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5822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  <w:jc w:val="center"/>
        </w:trPr>
        <w:tc>
          <w:tcPr>
            <w:tcW w:w="2363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11806</w:t>
            </w:r>
          </w:p>
        </w:tc>
        <w:tc>
          <w:tcPr>
            <w:tcW w:w="2282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9430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2376</w:t>
            </w:r>
          </w:p>
        </w:tc>
        <w:tc>
          <w:tcPr>
            <w:tcW w:w="199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　</w:t>
            </w:r>
          </w:p>
        </w:tc>
      </w:tr>
    </w:tbl>
    <w:p>
      <w:pPr>
        <w:widowControl/>
        <w:ind w:left="-315" w:right="-372"/>
        <w:rPr>
          <w:szCs w:val="21"/>
        </w:rPr>
      </w:pPr>
      <w:r>
        <w:rPr>
          <w:rFonts w:hint="eastAsia" w:ascii="楷体_GB2312" w:eastAsia="楷体_GB2312" w:cs="宋体"/>
          <w:kern w:val="0"/>
          <w:szCs w:val="21"/>
        </w:rPr>
        <w:t>交通运输仓储业的产业活动单位。</w:t>
      </w:r>
    </w:p>
    <w:p>
      <w:pPr>
        <w:pStyle w:val="2"/>
        <w:spacing w:before="0" w:after="0"/>
        <w:jc w:val="right"/>
        <w:rPr>
          <w:rFonts w:ascii="黑体"/>
        </w:rPr>
      </w:pPr>
      <w:bookmarkStart w:id="10" w:name="_Toc424197918"/>
      <w:bookmarkStart w:id="11" w:name="_Toc425143922"/>
      <w:bookmarkStart w:id="12" w:name="_Toc456185407"/>
      <w:r>
        <w:rPr>
          <w:rFonts w:hint="eastAsia" w:ascii="黑体"/>
        </w:rPr>
        <w:t>交  通  运  输  业</w:t>
      </w:r>
      <w:bookmarkEnd w:id="10"/>
      <w:bookmarkEnd w:id="11"/>
      <w:bookmarkEnd w:id="1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5"/>
        <w:gridCol w:w="35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705" w:type="dxa"/>
            <w:tcBorders>
              <w:left w:val="nil"/>
              <w:bottom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537" w:type="dxa"/>
            <w:tcBorders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70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53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一、年初存货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7041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二、期末资产负债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固定资产原价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478726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本年折旧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48512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资产总计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689881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负债合计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422915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所有者权益合计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266966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三、损益及分配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营业收入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600199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594744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营业成本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610028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主营业务成本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585031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营业税金及附加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2574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57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3537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2229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13" w:name="_Toc423699722"/>
      <w:bookmarkStart w:id="14" w:name="_Toc424197919"/>
      <w:bookmarkStart w:id="15" w:name="_Toc425143923"/>
      <w:bookmarkStart w:id="16" w:name="_Toc425427536"/>
      <w:bookmarkStart w:id="17" w:name="_Toc456185408"/>
      <w:r>
        <w:rPr>
          <w:rFonts w:hint="eastAsia" w:ascii="黑体"/>
        </w:rPr>
        <w:t>财  务  状  况</w:t>
      </w:r>
      <w:bookmarkEnd w:id="13"/>
      <w:bookmarkEnd w:id="14"/>
      <w:bookmarkEnd w:id="15"/>
      <w:bookmarkEnd w:id="16"/>
      <w:bookmarkEnd w:id="1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4"/>
        <w:gridCol w:w="353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5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70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53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销售费用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12750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管理费用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57279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642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财务费用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1710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投资收益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损失以</w:t>
            </w:r>
            <w:r>
              <w:rPr>
                <w:szCs w:val="21"/>
              </w:rPr>
              <w:t>“-”</w:t>
            </w:r>
            <w:r>
              <w:rPr>
                <w:rFonts w:hint="eastAsia"/>
                <w:szCs w:val="21"/>
              </w:rPr>
              <w:t>号记</w:t>
            </w:r>
            <w:r>
              <w:rPr>
                <w:szCs w:val="21"/>
              </w:rPr>
              <w:t>)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营业利润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-68455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利润总额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2773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应交所得税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4194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四、人工成本及增值税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应付职工薪酬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本年贷方累计发生额</w:t>
            </w:r>
            <w:r>
              <w:rPr>
                <w:szCs w:val="21"/>
              </w:rPr>
              <w:t>)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158871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570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应交增值税</w:t>
            </w:r>
          </w:p>
        </w:tc>
        <w:tc>
          <w:tcPr>
            <w:tcW w:w="35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14919 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18" w:name="_Toc424197920"/>
      <w:bookmarkStart w:id="19" w:name="_Toc425143924"/>
      <w:bookmarkStart w:id="20" w:name="_Toc456185409"/>
      <w:r>
        <w:rPr>
          <w:rFonts w:hint="eastAsia" w:ascii="黑体"/>
        </w:rPr>
        <w:t>装 卸 和 货 运 代</w:t>
      </w:r>
      <w:bookmarkEnd w:id="18"/>
      <w:bookmarkEnd w:id="19"/>
      <w:bookmarkEnd w:id="2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2"/>
        <w:gridCol w:w="3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66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58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一、年初存货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二、期末资产负债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固定资产原价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77184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本年折旧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资产总计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275021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负债合计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127581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所有者权益合计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147440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三、损益及分配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营业收入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224719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223298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营业成本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201048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主营业务成本</w:t>
            </w:r>
          </w:p>
        </w:tc>
        <w:tc>
          <w:tcPr>
            <w:tcW w:w="3580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179613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营业税金及附加</w:t>
            </w:r>
          </w:p>
        </w:tc>
        <w:tc>
          <w:tcPr>
            <w:tcW w:w="358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883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878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1" w:name="_Toc423699724"/>
      <w:bookmarkStart w:id="22" w:name="_Toc424197921"/>
      <w:bookmarkStart w:id="23" w:name="_Toc425143925"/>
      <w:bookmarkStart w:id="24" w:name="_Toc425427538"/>
      <w:bookmarkStart w:id="25" w:name="_Toc456185410"/>
      <w:r>
        <w:rPr>
          <w:rFonts w:hint="eastAsia" w:ascii="黑体"/>
        </w:rPr>
        <w:t>理 业 财 务 状 况</w:t>
      </w:r>
      <w:bookmarkEnd w:id="21"/>
      <w:bookmarkEnd w:id="22"/>
      <w:bookmarkEnd w:id="23"/>
      <w:bookmarkEnd w:id="24"/>
      <w:bookmarkEnd w:id="2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2"/>
        <w:gridCol w:w="35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66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58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销售费用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6049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管理费用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15445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379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财务费用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1625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933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投资收益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损失以</w:t>
            </w:r>
            <w:r>
              <w:rPr>
                <w:szCs w:val="21"/>
              </w:rPr>
              <w:t>“-”</w:t>
            </w:r>
            <w:r>
              <w:rPr>
                <w:rFonts w:hint="eastAsia"/>
                <w:szCs w:val="21"/>
              </w:rPr>
              <w:t>号记</w:t>
            </w:r>
            <w:r>
              <w:rPr>
                <w:szCs w:val="21"/>
              </w:rPr>
              <w:t>)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-652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营业利润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利润总额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4343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应交所得税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1247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四、人工成本及增值税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应付职工薪酬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本年贷方累计发生额</w:t>
            </w:r>
            <w:r>
              <w:rPr>
                <w:szCs w:val="21"/>
              </w:rPr>
              <w:t>)</w:t>
            </w: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21136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6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应交增值税</w:t>
            </w:r>
          </w:p>
        </w:tc>
        <w:tc>
          <w:tcPr>
            <w:tcW w:w="35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1660 </w:t>
            </w: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26" w:name="_Toc424197922"/>
      <w:bookmarkStart w:id="27" w:name="_Toc425143926"/>
      <w:bookmarkStart w:id="28" w:name="_Toc456185411"/>
      <w:r>
        <w:rPr>
          <w:rFonts w:hint="eastAsia" w:ascii="黑体"/>
        </w:rPr>
        <w:t>仓  储  业  财</w:t>
      </w:r>
      <w:bookmarkEnd w:id="26"/>
      <w:bookmarkEnd w:id="27"/>
      <w:bookmarkEnd w:id="2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9"/>
        <w:gridCol w:w="30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</w:p>
        </w:tc>
        <w:tc>
          <w:tcPr>
            <w:tcW w:w="30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16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07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一、年初存货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二、期末资产负债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固定资产原价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338028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本年折旧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13143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资产总计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362859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负债合计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170173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所有者权益合计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192686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三、损益及分配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营业收入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192780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191573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营业成本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148111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主营业务成本</w:t>
            </w:r>
          </w:p>
        </w:tc>
        <w:tc>
          <w:tcPr>
            <w:tcW w:w="3073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147699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营业税金及附加</w:t>
            </w:r>
          </w:p>
        </w:tc>
        <w:tc>
          <w:tcPr>
            <w:tcW w:w="307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1385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616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307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1341 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29" w:name="_Toc423699726"/>
      <w:bookmarkStart w:id="30" w:name="_Toc424197923"/>
      <w:bookmarkStart w:id="31" w:name="_Toc425143927"/>
      <w:bookmarkStart w:id="32" w:name="_Toc425427540"/>
      <w:bookmarkStart w:id="33" w:name="_Toc456185412"/>
      <w:r>
        <w:rPr>
          <w:rFonts w:hint="eastAsia" w:ascii="黑体"/>
        </w:rPr>
        <w:t>务  状  况</w:t>
      </w:r>
      <w:bookmarkEnd w:id="29"/>
      <w:bookmarkEnd w:id="30"/>
      <w:bookmarkEnd w:id="31"/>
      <w:bookmarkEnd w:id="32"/>
      <w:bookmarkEnd w:id="3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35"/>
        <w:gridCol w:w="32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黑体" w:cs="宋体"/>
                <w:kern w:val="0"/>
                <w:szCs w:val="21"/>
              </w:rPr>
            </w:pPr>
          </w:p>
        </w:tc>
        <w:tc>
          <w:tcPr>
            <w:tcW w:w="32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603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20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销售费用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6602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管理费用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29870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财务费用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2140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799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2884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投资收益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损失以</w:t>
            </w:r>
            <w:r>
              <w:rPr>
                <w:szCs w:val="21"/>
              </w:rPr>
              <w:t>“-”</w:t>
            </w:r>
            <w:r>
              <w:rPr>
                <w:rFonts w:hint="eastAsia"/>
                <w:szCs w:val="21"/>
              </w:rPr>
              <w:t>号记</w:t>
            </w:r>
            <w:r>
              <w:rPr>
                <w:szCs w:val="21"/>
              </w:rPr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8129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营业利润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12218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利润总额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13493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应交所得税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5058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四、人工成本及增值税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应付职工薪酬</w:t>
            </w:r>
            <w:r>
              <w:rPr>
                <w:szCs w:val="21"/>
              </w:rPr>
              <w:t>(</w:t>
            </w:r>
            <w:r>
              <w:rPr>
                <w:rFonts w:hint="eastAsia"/>
                <w:szCs w:val="21"/>
              </w:rPr>
              <w:t>本年贷方累计发生额</w:t>
            </w:r>
            <w:r>
              <w:rPr>
                <w:szCs w:val="21"/>
              </w:rPr>
              <w:t>)</w:t>
            </w:r>
          </w:p>
        </w:tc>
        <w:tc>
          <w:tcPr>
            <w:tcW w:w="32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42250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603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应交增值税</w:t>
            </w:r>
          </w:p>
        </w:tc>
        <w:tc>
          <w:tcPr>
            <w:tcW w:w="32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5992 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34" w:name="_Toc424197924"/>
      <w:bookmarkStart w:id="35" w:name="_Toc425143928"/>
      <w:bookmarkStart w:id="36" w:name="_Toc456185413"/>
      <w:r>
        <w:rPr>
          <w:rFonts w:hint="eastAsia" w:ascii="宋体" w:hAnsi="宋体" w:cs="宋体"/>
          <w:bCs w:val="0"/>
        </w:rPr>
        <w:t>机动车车辆</w:t>
      </w:r>
      <w:bookmarkEnd w:id="34"/>
      <w:bookmarkEnd w:id="35"/>
      <w:bookmarkEnd w:id="3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6"/>
        <w:gridCol w:w="2518"/>
        <w:gridCol w:w="116"/>
        <w:gridCol w:w="24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  <w:r>
              <w:rPr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2634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20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25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51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253352</w:t>
            </w:r>
          </w:p>
        </w:tc>
        <w:tc>
          <w:tcPr>
            <w:tcW w:w="2518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234550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大型汽车</w:t>
            </w:r>
          </w:p>
        </w:tc>
        <w:tc>
          <w:tcPr>
            <w:tcW w:w="251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35039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35712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小型汽车</w:t>
            </w:r>
          </w:p>
        </w:tc>
        <w:tc>
          <w:tcPr>
            <w:tcW w:w="251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151054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133840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两、三轮摩托车</w:t>
            </w:r>
          </w:p>
        </w:tc>
        <w:tc>
          <w:tcPr>
            <w:tcW w:w="251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4978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轻便摩托车</w:t>
            </w:r>
          </w:p>
        </w:tc>
        <w:tc>
          <w:tcPr>
            <w:tcW w:w="251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38605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37379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挂车</w:t>
            </w:r>
          </w:p>
        </w:tc>
        <w:tc>
          <w:tcPr>
            <w:tcW w:w="2518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20309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19308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420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其他</w:t>
            </w:r>
          </w:p>
        </w:tc>
        <w:tc>
          <w:tcPr>
            <w:tcW w:w="2518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3367</w:t>
            </w:r>
          </w:p>
        </w:tc>
        <w:tc>
          <w:tcPr>
            <w:tcW w:w="2518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840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注：本表由区公安分局提供。</w:t>
            </w:r>
          </w:p>
        </w:tc>
        <w:tc>
          <w:tcPr>
            <w:tcW w:w="240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37" w:name="_Toc424197925"/>
      <w:bookmarkStart w:id="38" w:name="_Toc425143929"/>
      <w:bookmarkStart w:id="39" w:name="_Toc456185414"/>
      <w:r>
        <w:rPr>
          <w:rFonts w:hint="eastAsia" w:ascii="宋体" w:hAnsi="宋体" w:cs="宋体"/>
          <w:bCs w:val="0"/>
        </w:rPr>
        <w:t>邮政、电信</w:t>
      </w:r>
      <w:bookmarkEnd w:id="37"/>
      <w:bookmarkEnd w:id="38"/>
      <w:bookmarkEnd w:id="3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4"/>
        <w:gridCol w:w="1250"/>
        <w:gridCol w:w="656"/>
        <w:gridCol w:w="1083"/>
        <w:gridCol w:w="1234"/>
        <w:gridCol w:w="164"/>
        <w:gridCol w:w="10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481" w:type="dxa"/>
            <w:gridSpan w:val="3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78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指      标</w:t>
            </w:r>
          </w:p>
        </w:tc>
        <w:tc>
          <w:tcPr>
            <w:tcW w:w="125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</w:t>
            </w:r>
          </w:p>
        </w:tc>
        <w:tc>
          <w:tcPr>
            <w:tcW w:w="1739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1234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2014年</w:t>
            </w:r>
          </w:p>
        </w:tc>
        <w:tc>
          <w:tcPr>
            <w:tcW w:w="1235" w:type="dxa"/>
            <w:gridSpan w:val="2"/>
            <w:tcBorders>
              <w:top w:val="single" w:color="auto" w:sz="12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邮政支局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邮政所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处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邮政业务总量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26420 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26628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函件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万件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2245.2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3004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-25.3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报刊累计订销数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万份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8239 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9079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固定电话用户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万户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46.2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宽带接入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万户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35.67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32.4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平均带宽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兆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</w:p>
        </w:tc>
        <w:tc>
          <w:tcPr>
            <w:tcW w:w="1234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23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133.3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378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公共场所开通</w:t>
            </w:r>
            <w:r>
              <w:rPr>
                <w:szCs w:val="21"/>
              </w:rPr>
              <w:t>i-shanghai</w:t>
            </w:r>
            <w:r>
              <w:rPr>
                <w:rFonts w:hint="eastAsia"/>
                <w:szCs w:val="21"/>
              </w:rPr>
              <w:t>免费上网服务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739" w:type="dxa"/>
            <w:gridSpan w:val="2"/>
            <w:tcBorders>
              <w:top w:val="nil"/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  <w:tc>
          <w:tcPr>
            <w:tcW w:w="123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</w:t>
            </w:r>
          </w:p>
        </w:tc>
        <w:tc>
          <w:tcPr>
            <w:tcW w:w="1235" w:type="dxa"/>
            <w:gridSpan w:val="2"/>
            <w:tcBorders>
              <w:top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5690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注：本表由区邮政局、区信息委提供。</w:t>
            </w:r>
          </w:p>
        </w:tc>
        <w:tc>
          <w:tcPr>
            <w:tcW w:w="2481" w:type="dxa"/>
            <w:gridSpan w:val="3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07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40" w:name="_Toc424197926"/>
      <w:bookmarkStart w:id="41" w:name="_Toc425143930"/>
      <w:bookmarkStart w:id="42" w:name="_Toc456185415"/>
      <w:r>
        <w:rPr>
          <w:rFonts w:hint="eastAsia" w:ascii="宋体" w:hAnsi="宋体" w:cs="宋体"/>
          <w:bCs w:val="0"/>
        </w:rPr>
        <w:t>商品销售额和社会消费品零售总额</w:t>
      </w:r>
      <w:bookmarkEnd w:id="40"/>
      <w:bookmarkEnd w:id="41"/>
      <w:bookmarkEnd w:id="4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9"/>
        <w:gridCol w:w="2150"/>
        <w:gridCol w:w="21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939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215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2153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商品销售额</w:t>
            </w:r>
          </w:p>
        </w:tc>
        <w:tc>
          <w:tcPr>
            <w:tcW w:w="215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33045444</w:t>
            </w:r>
          </w:p>
        </w:tc>
        <w:tc>
          <w:tcPr>
            <w:tcW w:w="215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金属及金属矿批发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20954334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社会消费品零售总额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5944595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一、按登记注册类型分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国有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191052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外商及港澳台投资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272401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私营及个体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4258181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二、按行业分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315"/>
              <w:rPr>
                <w:szCs w:val="21"/>
              </w:rPr>
            </w:pPr>
            <w:r>
              <w:rPr>
                <w:rFonts w:hint="eastAsia"/>
                <w:szCs w:val="21"/>
              </w:rPr>
              <w:t>1、批发和零售业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5530050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汽车零售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1255281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互联网零售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334646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-48.6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2</w:t>
            </w:r>
            <w:r>
              <w:rPr>
                <w:rFonts w:hint="eastAsia"/>
                <w:szCs w:val="21"/>
              </w:rPr>
              <w:t>、住宿餐饮业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414545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三、按限额分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3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ind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限额以上</w:t>
            </w:r>
          </w:p>
        </w:tc>
        <w:tc>
          <w:tcPr>
            <w:tcW w:w="215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3654257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-0.9</w:t>
            </w:r>
          </w:p>
        </w:tc>
      </w:tr>
    </w:tbl>
    <w:p>
      <w:pPr>
        <w:widowControl/>
        <w:spacing w:line="360" w:lineRule="auto"/>
        <w:jc w:val="center"/>
        <w:rPr>
          <w:kern w:val="0"/>
          <w:szCs w:val="21"/>
        </w:rPr>
      </w:pPr>
    </w:p>
    <w:p>
      <w:pPr>
        <w:pStyle w:val="2"/>
        <w:spacing w:before="0" w:after="0"/>
        <w:rPr>
          <w:rFonts w:ascii="宋体" w:hAnsi="宋体" w:cs="宋体"/>
          <w:bCs w:val="0"/>
        </w:rPr>
      </w:pPr>
      <w:bookmarkStart w:id="43" w:name="_Toc424197927"/>
      <w:bookmarkStart w:id="44" w:name="_Toc425143931"/>
      <w:bookmarkStart w:id="45" w:name="_Toc456185416"/>
      <w:r>
        <w:rPr>
          <w:rFonts w:hint="eastAsia" w:ascii="宋体" w:hAnsi="宋体" w:cs="宋体"/>
          <w:bCs w:val="0"/>
        </w:rPr>
        <w:t>电  子  商  务</w:t>
      </w:r>
      <w:bookmarkEnd w:id="43"/>
      <w:bookmarkEnd w:id="44"/>
      <w:bookmarkEnd w:id="4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1"/>
        <w:gridCol w:w="1952"/>
        <w:gridCol w:w="198"/>
        <w:gridCol w:w="21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9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单位：亿元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94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215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15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电子商务企业（户）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274 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实现电子商务交易额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985.4 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49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#B2B</w:t>
            </w:r>
            <w:r>
              <w:rPr>
                <w:rFonts w:hint="eastAsia"/>
                <w:szCs w:val="21"/>
              </w:rPr>
              <w:t>交易额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963.2 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494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B2C</w:t>
            </w:r>
            <w:r>
              <w:rPr>
                <w:rFonts w:hint="eastAsia"/>
                <w:szCs w:val="21"/>
              </w:rPr>
              <w:t>交易额</w:t>
            </w:r>
          </w:p>
        </w:tc>
        <w:tc>
          <w:tcPr>
            <w:tcW w:w="215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22.2 </w:t>
            </w:r>
          </w:p>
        </w:tc>
        <w:tc>
          <w:tcPr>
            <w:tcW w:w="215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-43.7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941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注：本表由区商务委提供。</w:t>
            </w:r>
          </w:p>
        </w:tc>
        <w:tc>
          <w:tcPr>
            <w:tcW w:w="1952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349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46" w:name="_Toc424197928"/>
      <w:bookmarkStart w:id="47" w:name="_Toc425143932"/>
      <w:bookmarkStart w:id="48" w:name="_Toc456185417"/>
      <w:r>
        <w:rPr>
          <w:rFonts w:hint="eastAsia" w:ascii="宋体" w:hAnsi="宋体" w:cs="宋体"/>
          <w:bCs w:val="0"/>
        </w:rPr>
        <w:t>各镇、街道社会消费品零售总额</w:t>
      </w:r>
      <w:bookmarkEnd w:id="46"/>
      <w:bookmarkEnd w:id="47"/>
      <w:bookmarkEnd w:id="4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0"/>
        <w:gridCol w:w="2231"/>
        <w:gridCol w:w="294"/>
        <w:gridCol w:w="19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52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7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街      镇</w:t>
            </w:r>
          </w:p>
        </w:tc>
        <w:tc>
          <w:tcPr>
            <w:tcW w:w="223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2231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22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5954595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6.0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一、镇小计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4433579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0.6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罗店镇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239249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大场镇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1189614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杨行镇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534709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月浦镇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229363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罗泾镇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32574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顾村镇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309993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高境镇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574133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庙行镇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621036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-35.6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淞南镇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702907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二、街道小计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1320076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友谊路街道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839231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吴淞街道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332340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张庙街道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148506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三、城市工业园区</w:t>
            </w:r>
          </w:p>
        </w:tc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185981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/>
                <w:bCs/>
                <w:szCs w:val="21"/>
              </w:rPr>
              <w:t>.</w:t>
            </w:r>
            <w:r>
              <w:rPr>
                <w:rFonts w:ascii="Arial" w:hAnsi="Arial" w:cs="Arial"/>
                <w:b/>
                <w:bCs/>
                <w:szCs w:val="21"/>
              </w:rPr>
              <w:t>1</w:t>
            </w:r>
            <w:r>
              <w:rPr>
                <w:rFonts w:hint="eastAsia" w:ascii="Arial" w:hAnsi="Arial" w:cs="Arial"/>
                <w:b/>
                <w:bCs/>
                <w:szCs w:val="21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7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四、宝山工业园区</w:t>
            </w:r>
          </w:p>
        </w:tc>
        <w:tc>
          <w:tcPr>
            <w:tcW w:w="223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4959</w:t>
            </w:r>
          </w:p>
        </w:tc>
        <w:tc>
          <w:tcPr>
            <w:tcW w:w="2231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-50.5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780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注：各镇、街道为在地统计口径。</w:t>
            </w:r>
          </w:p>
        </w:tc>
        <w:tc>
          <w:tcPr>
            <w:tcW w:w="2525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93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jc w:val="right"/>
        <w:rPr>
          <w:rFonts w:ascii="黑体"/>
        </w:rPr>
      </w:pPr>
      <w:bookmarkStart w:id="49" w:name="_Toc424197934"/>
      <w:bookmarkStart w:id="50" w:name="_Toc425143938"/>
      <w:bookmarkStart w:id="51" w:name="_Toc456185418"/>
      <w:r>
        <w:rPr>
          <w:rFonts w:hint="eastAsia" w:ascii="黑体"/>
        </w:rPr>
        <w:t>限 额 以 上 批 发 和 零</w:t>
      </w:r>
      <w:bookmarkEnd w:id="49"/>
      <w:bookmarkEnd w:id="50"/>
      <w:bookmarkEnd w:id="5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2"/>
        <w:gridCol w:w="3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2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3370" w:type="dxa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87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37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企业户数（户）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年初存货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972455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年末资产负债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流动资产合计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4643997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应收帐款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1191322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存货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993095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固定资产合计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320913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固定资产原价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534668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累计折旧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213947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本年折旧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35278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资产总计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6683247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流动负债合计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4845255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应付帐款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1071162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非流动负债合计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425265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负债合计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5260520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所有者权益合计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1422727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实收资本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1580084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国家资本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191883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集体资本</w:t>
            </w: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87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法人资本</w:t>
            </w:r>
          </w:p>
        </w:tc>
        <w:tc>
          <w:tcPr>
            <w:tcW w:w="337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1034629</w:t>
            </w:r>
          </w:p>
        </w:tc>
      </w:tr>
    </w:tbl>
    <w:p>
      <w:pPr>
        <w:spacing w:before="60"/>
        <w:ind w:right="-431" w:hanging="391"/>
        <w:rPr>
          <w:rFonts w:eastAsia="楷体_GB2312"/>
          <w:spacing w:val="-2"/>
          <w:szCs w:val="21"/>
        </w:rPr>
      </w:pPr>
      <w:r>
        <w:rPr>
          <w:rFonts w:hint="eastAsia" w:eastAsia="楷体_GB2312"/>
          <w:spacing w:val="-2"/>
          <w:szCs w:val="21"/>
        </w:rPr>
        <w:t>注：统计范围为年主营业务收入1亿元及以上的批发业法人企业和500万元及以上的零售业法人企业。</w:t>
      </w:r>
    </w:p>
    <w:p>
      <w:pPr>
        <w:pStyle w:val="2"/>
        <w:spacing w:before="0" w:after="0"/>
        <w:jc w:val="both"/>
        <w:rPr>
          <w:rFonts w:ascii="黑体"/>
        </w:rPr>
      </w:pPr>
      <w:bookmarkStart w:id="52" w:name="_Toc423699738"/>
      <w:bookmarkStart w:id="53" w:name="_Toc424197935"/>
      <w:bookmarkStart w:id="54" w:name="_Toc425143939"/>
      <w:bookmarkStart w:id="55" w:name="_Toc425427552"/>
      <w:bookmarkStart w:id="56" w:name="_Toc456185419"/>
      <w:r>
        <w:rPr>
          <w:rFonts w:hint="eastAsia" w:ascii="黑体"/>
        </w:rPr>
        <w:t>售 业 企 业 财 务 状 况</w:t>
      </w:r>
      <w:bookmarkEnd w:id="52"/>
      <w:bookmarkEnd w:id="53"/>
      <w:bookmarkEnd w:id="54"/>
      <w:bookmarkEnd w:id="55"/>
      <w:bookmarkEnd w:id="5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6"/>
        <w:gridCol w:w="31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07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      标</w:t>
            </w:r>
          </w:p>
        </w:tc>
        <w:tc>
          <w:tcPr>
            <w:tcW w:w="316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个人资本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216428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港澳台资本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31699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外商资本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损益及分配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主营业务收入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16488965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主营业务成本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15997437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主营业务税金及附加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25921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其他业务利润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80662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销售费用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350969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管理费用</w:t>
            </w:r>
          </w:p>
        </w:tc>
        <w:tc>
          <w:tcPr>
            <w:tcW w:w="316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204791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财务费用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85518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40734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98329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营业利润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-102030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利润总额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-84532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应交所得税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人工成本及增值税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应付职工薪酬</w:t>
            </w:r>
          </w:p>
        </w:tc>
        <w:tc>
          <w:tcPr>
            <w:tcW w:w="3166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171749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本年应交增值税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52225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07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从业人员平均人数（人）</w:t>
            </w:r>
          </w:p>
        </w:tc>
        <w:tc>
          <w:tcPr>
            <w:tcW w:w="3166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21327</w:t>
            </w:r>
          </w:p>
        </w:tc>
      </w:tr>
    </w:tbl>
    <w:p/>
    <w:p>
      <w:pPr>
        <w:pStyle w:val="2"/>
        <w:spacing w:before="0" w:after="0"/>
        <w:jc w:val="right"/>
        <w:rPr>
          <w:rFonts w:ascii="黑体"/>
        </w:rPr>
      </w:pPr>
      <w:bookmarkStart w:id="57" w:name="_Toc424197936"/>
      <w:bookmarkStart w:id="58" w:name="_Toc425143940"/>
      <w:bookmarkStart w:id="59" w:name="_Toc456185420"/>
      <w:r>
        <w:rPr>
          <w:rFonts w:hint="eastAsia" w:ascii="黑体"/>
        </w:rPr>
        <w:t>限 额 以 上 批 发 和 零 售</w:t>
      </w:r>
      <w:bookmarkEnd w:id="57"/>
      <w:bookmarkEnd w:id="58"/>
      <w:bookmarkEnd w:id="5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02"/>
        <w:gridCol w:w="2420"/>
        <w:gridCol w:w="1158"/>
        <w:gridCol w:w="126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578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40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行      业</w:t>
            </w:r>
          </w:p>
        </w:tc>
        <w:tc>
          <w:tcPr>
            <w:tcW w:w="2420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销售额</w:t>
            </w:r>
          </w:p>
        </w:tc>
        <w:tc>
          <w:tcPr>
            <w:tcW w:w="242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批发企业按行业分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14555702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16.9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农、林、牧产品批发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26235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31.5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食品、饮料及烟草制品批发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394292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-2.3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纺织、服装及家庭日用品批发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32677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-1.4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文化、体育用品及器材批发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13864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医药及医疗器材批发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249313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矿产品、建材及化工产品批发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13505365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18.0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机械设备、五金交电及电子产品批发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151006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-35.7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贸易经纪与代理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16992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6.5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其他批发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165959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倍</w:t>
            </w:r>
            <w:r>
              <w:rPr>
                <w:szCs w:val="21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零售企业按行业分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3607182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综合零售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803933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食品、饮料及烟草制品专门零售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53482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7.1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纺织、服装及日用品专门零售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35330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22.4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文化、体育用品及器材专门零售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69382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医药及医疗器材专门零售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53268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汽车、摩托车、燃料及配件专门零售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1972144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25.2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家用电器及电子产品专门零售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204206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23.7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五金、家具及室内装修材料专门零售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143753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-4.3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40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货摊、无店铺及其他零售</w:t>
            </w:r>
          </w:p>
        </w:tc>
        <w:tc>
          <w:tcPr>
            <w:tcW w:w="2420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271684 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-56.9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242" w:type="dxa"/>
            <w:gridSpan w:val="4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</w:t>
            </w:r>
            <w:r>
              <w:rPr>
                <w:rFonts w:hint="eastAsia" w:eastAsia="楷体_GB2312"/>
                <w:spacing w:val="-2"/>
                <w:szCs w:val="21"/>
              </w:rPr>
              <w:t>统计范围为年主营业务收入1亿元及以上的批发业法人企业和500万元及以上的零售业法人企业。</w:t>
            </w:r>
          </w:p>
        </w:tc>
      </w:tr>
    </w:tbl>
    <w:p>
      <w:pPr>
        <w:pStyle w:val="2"/>
        <w:spacing w:before="0" w:after="0"/>
        <w:jc w:val="both"/>
        <w:rPr>
          <w:rFonts w:ascii="黑体"/>
        </w:rPr>
      </w:pPr>
      <w:bookmarkStart w:id="60" w:name="_Toc423699740"/>
      <w:bookmarkStart w:id="61" w:name="_Toc424197937"/>
      <w:bookmarkStart w:id="62" w:name="_Toc425143941"/>
      <w:bookmarkStart w:id="63" w:name="_Toc425427554"/>
      <w:bookmarkStart w:id="64" w:name="_Toc456185421"/>
      <w:r>
        <w:rPr>
          <w:rFonts w:hint="eastAsia" w:ascii="黑体"/>
        </w:rPr>
        <w:t>业 企 业 商 品 销 售 额</w:t>
      </w:r>
      <w:bookmarkEnd w:id="60"/>
      <w:bookmarkEnd w:id="61"/>
      <w:bookmarkEnd w:id="62"/>
      <w:bookmarkEnd w:id="63"/>
      <w:bookmarkEnd w:id="6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9"/>
        <w:gridCol w:w="43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84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kern w:val="0"/>
                <w:sz w:val="24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849" w:type="dxa"/>
            <w:tcBorders>
              <w:top w:val="single" w:color="auto" w:sz="12" w:space="0"/>
              <w:bottom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#</w:t>
            </w:r>
            <w:r>
              <w:rPr>
                <w:rFonts w:hint="eastAsia"/>
                <w:kern w:val="0"/>
                <w:szCs w:val="21"/>
              </w:rPr>
              <w:t>批发额</w:t>
            </w:r>
          </w:p>
        </w:tc>
        <w:tc>
          <w:tcPr>
            <w:tcW w:w="4393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零售额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14432911 </w:t>
            </w: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122791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26235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289380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104913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32677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13864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248398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915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13492361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13004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147046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3960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16992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165959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295936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 xml:space="preserve">3311246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530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803403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53482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35330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69382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68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53200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249191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1722953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143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204064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39858 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103895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4849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6147 </w:t>
            </w:r>
          </w:p>
        </w:tc>
        <w:tc>
          <w:tcPr>
            <w:tcW w:w="439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265538 </w:t>
            </w:r>
          </w:p>
        </w:tc>
      </w:tr>
    </w:tbl>
    <w:p>
      <w:pPr>
        <w:ind w:left="-315" w:leftChars="-150"/>
      </w:pPr>
      <w:r>
        <w:rPr>
          <w:rFonts w:hint="eastAsia" w:eastAsia="楷体_GB2312" w:cs="宋体"/>
          <w:kern w:val="0"/>
          <w:szCs w:val="21"/>
        </w:rPr>
        <w:t>（含市属连锁企业）。</w:t>
      </w:r>
    </w:p>
    <w:p>
      <w:pPr>
        <w:pStyle w:val="2"/>
        <w:spacing w:before="0" w:after="0"/>
        <w:jc w:val="right"/>
        <w:rPr>
          <w:rFonts w:ascii="黑体"/>
        </w:rPr>
      </w:pPr>
      <w:bookmarkStart w:id="65" w:name="_Toc424197938"/>
      <w:bookmarkStart w:id="66" w:name="_Toc425143942"/>
      <w:bookmarkStart w:id="67" w:name="_Toc456185422"/>
      <w:r>
        <w:rPr>
          <w:rFonts w:hint="eastAsia" w:ascii="黑体"/>
        </w:rPr>
        <w:t>限 额 以 上 住 宿 和 餐</w:t>
      </w:r>
      <w:bookmarkEnd w:id="65"/>
      <w:bookmarkEnd w:id="66"/>
      <w:bookmarkEnd w:id="67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3"/>
        <w:gridCol w:w="3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72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51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企业户数（户）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年初存货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4250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年末资产负债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流动资产合计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100612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应收帐款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3875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存货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3713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固定资产合计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27007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固定资产原价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74569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累计折旧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47568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本年折旧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3624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资产总计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165209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流动负债合计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78403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应付帐款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20923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非流动负债合计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26437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负债合计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104840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所有者权益合计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60369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实收资本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64418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国家资本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35692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集体资本</w:t>
            </w: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1049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5723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法人资本</w:t>
            </w:r>
          </w:p>
        </w:tc>
        <w:tc>
          <w:tcPr>
            <w:tcW w:w="3519" w:type="dxa"/>
            <w:tcBorders>
              <w:top w:val="nil"/>
              <w:left w:val="single" w:color="auto" w:sz="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16184</w:t>
            </w:r>
          </w:p>
        </w:tc>
      </w:tr>
    </w:tbl>
    <w:p>
      <w:pPr>
        <w:ind w:left="-315" w:leftChars="-150"/>
        <w:rPr>
          <w:rFonts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注：限额以上统计范围是年主营业务收入200万元及以上的住宿和餐饮业法人企业。</w:t>
      </w:r>
    </w:p>
    <w:p>
      <w:pPr>
        <w:pStyle w:val="2"/>
        <w:spacing w:before="0" w:after="0"/>
        <w:jc w:val="both"/>
        <w:rPr>
          <w:rFonts w:ascii="黑体"/>
        </w:rPr>
      </w:pPr>
      <w:bookmarkStart w:id="68" w:name="_Toc423699742"/>
      <w:bookmarkStart w:id="69" w:name="_Toc424197939"/>
      <w:bookmarkStart w:id="70" w:name="_Toc425143943"/>
      <w:bookmarkStart w:id="71" w:name="_Toc425427556"/>
      <w:bookmarkStart w:id="72" w:name="_Toc456185423"/>
      <w:r>
        <w:rPr>
          <w:rFonts w:hint="eastAsia" w:ascii="黑体"/>
        </w:rPr>
        <w:t>饮 业 企 业 财 务 状 况</w:t>
      </w:r>
      <w:bookmarkEnd w:id="68"/>
      <w:bookmarkEnd w:id="69"/>
      <w:bookmarkEnd w:id="70"/>
      <w:bookmarkEnd w:id="71"/>
      <w:bookmarkEnd w:id="72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7"/>
        <w:gridCol w:w="33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cs="宋体"/>
                <w:kern w:val="0"/>
                <w:szCs w:val="21"/>
              </w:rPr>
            </w:pPr>
          </w:p>
        </w:tc>
        <w:tc>
          <w:tcPr>
            <w:tcW w:w="331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92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31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个人资本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11142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港澳台资本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外商资本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损益及分配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主营业务收入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204951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主营业务成本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87105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主营业务税金及附加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11011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其他业务利润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销售费用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75852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管理费用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财务费用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利息支出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营业利润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2173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利润总额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7457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应交所得税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3274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  <w:szCs w:val="21"/>
              </w:rPr>
              <w:t>人工成本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应付职工薪酬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35931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592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从业人员平均人数（人）</w:t>
            </w:r>
          </w:p>
        </w:tc>
        <w:tc>
          <w:tcPr>
            <w:tcW w:w="3315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7787</w:t>
            </w:r>
          </w:p>
        </w:tc>
      </w:tr>
    </w:tbl>
    <w:p>
      <w:pPr>
        <w:rPr>
          <w:szCs w:val="21"/>
        </w:rPr>
      </w:pPr>
    </w:p>
    <w:p>
      <w:pPr>
        <w:pStyle w:val="2"/>
        <w:spacing w:before="0" w:after="0"/>
        <w:rPr>
          <w:rFonts w:ascii="宋体" w:hAnsi="宋体" w:cs="宋体"/>
          <w:bCs w:val="0"/>
        </w:rPr>
      </w:pPr>
      <w:bookmarkStart w:id="73" w:name="_Toc424197929"/>
      <w:bookmarkStart w:id="74" w:name="_Toc425143933"/>
      <w:bookmarkStart w:id="75" w:name="_Toc456185424"/>
      <w:bookmarkStart w:id="76" w:name="_Toc424197940"/>
      <w:bookmarkStart w:id="77" w:name="_Toc425143944"/>
      <w:r>
        <w:rPr>
          <w:rFonts w:hint="eastAsia" w:ascii="宋体" w:hAnsi="宋体" w:cs="宋体"/>
          <w:bCs w:val="0"/>
        </w:rPr>
        <w:t>市场基本情况</w:t>
      </w:r>
      <w:bookmarkEnd w:id="73"/>
      <w:bookmarkEnd w:id="74"/>
      <w:bookmarkEnd w:id="7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2"/>
        <w:gridCol w:w="1680"/>
        <w:gridCol w:w="1995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6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类      别</w:t>
            </w:r>
          </w:p>
        </w:tc>
        <w:tc>
          <w:tcPr>
            <w:tcW w:w="168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9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60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市场总数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个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117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-4.9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、综合市场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、专业市场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市场总成交额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3106031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-9.5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1、综合市场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434355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农产品综合市场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269355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2、专业市场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2671676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-6.1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#</w:t>
            </w:r>
            <w:r>
              <w:rPr>
                <w:rFonts w:hint="eastAsia"/>
                <w:szCs w:val="21"/>
              </w:rPr>
              <w:t>钢材市场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42326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-77.9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家具市场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196261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-1.2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建材装饰材料市场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273115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纺织品服装鞋帽市场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191628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-2.8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蔬菜市场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1562441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　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木材市场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113120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</w:t>
            </w:r>
          </w:p>
        </w:tc>
      </w:tr>
    </w:tbl>
    <w:p/>
    <w:p>
      <w:pPr>
        <w:pStyle w:val="2"/>
        <w:spacing w:before="0" w:after="0"/>
        <w:rPr>
          <w:rFonts w:ascii="宋体" w:hAnsi="宋体" w:cs="宋体"/>
          <w:bCs w:val="0"/>
        </w:rPr>
      </w:pPr>
      <w:bookmarkStart w:id="78" w:name="_Toc424197930"/>
      <w:bookmarkStart w:id="79" w:name="_Toc425143934"/>
      <w:bookmarkStart w:id="80" w:name="_Toc456185425"/>
      <w:r>
        <w:rPr>
          <w:rFonts w:hint="eastAsia" w:ascii="宋体" w:hAnsi="宋体" w:cs="宋体"/>
          <w:bCs w:val="0"/>
        </w:rPr>
        <w:t>旅游收入和人次</w:t>
      </w:r>
      <w:bookmarkEnd w:id="78"/>
      <w:bookmarkEnd w:id="79"/>
      <w:bookmarkEnd w:id="8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2"/>
        <w:gridCol w:w="1680"/>
        <w:gridCol w:w="1995"/>
        <w:gridCol w:w="16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96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16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9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605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旅游收入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亿元</w:t>
            </w:r>
          </w:p>
        </w:tc>
        <w:tc>
          <w:tcPr>
            <w:tcW w:w="19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61.75 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77.9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39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旅游人次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1040.9 </w:t>
            </w:r>
          </w:p>
        </w:tc>
        <w:tc>
          <w:tcPr>
            <w:tcW w:w="160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11.0 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81" w:name="_Toc456185426"/>
      <w:bookmarkStart w:id="82" w:name="_Toc424197931"/>
      <w:bookmarkStart w:id="83" w:name="_Toc425143935"/>
      <w:r>
        <w:rPr>
          <w:rFonts w:hint="eastAsia" w:ascii="宋体" w:hAnsi="宋体" w:cs="宋体"/>
          <w:bCs w:val="0"/>
        </w:rPr>
        <w:t>旅游设施情况</w:t>
      </w:r>
      <w:bookmarkEnd w:id="81"/>
      <w:bookmarkEnd w:id="82"/>
      <w:bookmarkEnd w:id="83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5"/>
        <w:gridCol w:w="1336"/>
        <w:gridCol w:w="1939"/>
        <w:gridCol w:w="20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88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</w:t>
            </w:r>
            <w:r>
              <w:rPr>
                <w:rFonts w:hint="eastAsia"/>
                <w:kern w:val="0"/>
                <w:szCs w:val="21"/>
              </w:rPr>
              <w:t xml:space="preserve">      </w:t>
            </w:r>
            <w:r>
              <w:rPr>
                <w:kern w:val="0"/>
                <w:szCs w:val="21"/>
              </w:rPr>
              <w:t>标</w:t>
            </w:r>
          </w:p>
        </w:tc>
        <w:tc>
          <w:tcPr>
            <w:tcW w:w="1336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939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</w:t>
            </w:r>
            <w:r>
              <w:rPr>
                <w:kern w:val="0"/>
                <w:szCs w:val="21"/>
              </w:rPr>
              <w:t>年</w:t>
            </w:r>
          </w:p>
        </w:tc>
        <w:tc>
          <w:tcPr>
            <w:tcW w:w="208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kern w:val="0"/>
                <w:szCs w:val="21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星级宾馆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四星级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三星级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旅行社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47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经营出境旅游业务的旅行社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家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级旅游景区（点）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#4A</w:t>
            </w:r>
            <w:r>
              <w:rPr>
                <w:rFonts w:hint="eastAsia"/>
                <w:szCs w:val="21"/>
              </w:rPr>
              <w:t>级景区（点）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3A</w:t>
            </w:r>
            <w:r>
              <w:rPr>
                <w:rFonts w:hint="eastAsia"/>
                <w:szCs w:val="21"/>
              </w:rPr>
              <w:t>级景区（点）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旅游咨询服务中心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 </w:t>
            </w:r>
          </w:p>
        </w:tc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388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旅游集散中心站点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939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 </w:t>
            </w:r>
          </w:p>
        </w:tc>
        <w:tc>
          <w:tcPr>
            <w:tcW w:w="208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3885" w:type="dxa"/>
            <w:tcBorders>
              <w:top w:val="single" w:color="auto" w:sz="12" w:space="0"/>
              <w:left w:val="nil"/>
            </w:tcBorders>
            <w:vAlign w:val="center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注：P165-P166由区商务委提供。</w:t>
            </w:r>
          </w:p>
        </w:tc>
        <w:tc>
          <w:tcPr>
            <w:tcW w:w="1336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 w:cs="宋体"/>
                <w:kern w:val="0"/>
                <w:szCs w:val="21"/>
              </w:rPr>
            </w:pPr>
          </w:p>
        </w:tc>
        <w:tc>
          <w:tcPr>
            <w:tcW w:w="1939" w:type="dxa"/>
            <w:tcBorders>
              <w:top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eastAsia="楷体_GB2312" w:cs="宋体"/>
                <w:kern w:val="0"/>
                <w:szCs w:val="21"/>
              </w:rPr>
            </w:pPr>
          </w:p>
        </w:tc>
        <w:tc>
          <w:tcPr>
            <w:tcW w:w="2082" w:type="dxa"/>
            <w:tcBorders>
              <w:top w:val="single" w:color="auto" w:sz="12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eastAsia="楷体_GB2312" w:cs="宋体"/>
                <w:kern w:val="0"/>
                <w:szCs w:val="21"/>
              </w:rPr>
            </w:pP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84" w:name="_Toc456185427"/>
      <w:bookmarkStart w:id="85" w:name="_Toc424197932"/>
      <w:bookmarkStart w:id="86" w:name="_Toc425143936"/>
      <w:r>
        <w:rPr>
          <w:rFonts w:hint="eastAsia" w:ascii="宋体" w:hAnsi="宋体" w:cs="宋体"/>
          <w:bCs w:val="0"/>
        </w:rPr>
        <w:t>旅  游  业</w:t>
      </w:r>
      <w:bookmarkEnd w:id="84"/>
      <w:bookmarkEnd w:id="85"/>
      <w:bookmarkEnd w:id="86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7"/>
        <w:gridCol w:w="1345"/>
        <w:gridCol w:w="1883"/>
        <w:gridCol w:w="19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107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      标</w:t>
            </w:r>
          </w:p>
        </w:tc>
        <w:tc>
          <w:tcPr>
            <w:tcW w:w="134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单位</w:t>
            </w:r>
          </w:p>
        </w:tc>
        <w:tc>
          <w:tcPr>
            <w:tcW w:w="1883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201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/>
                <w:kern w:val="0"/>
                <w:sz w:val="20"/>
                <w:szCs w:val="20"/>
              </w:rPr>
              <w:t>年</w:t>
            </w:r>
          </w:p>
        </w:tc>
        <w:tc>
          <w:tcPr>
            <w:tcW w:w="190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增长</w:t>
            </w:r>
            <w:r>
              <w:rPr>
                <w:kern w:val="0"/>
                <w:sz w:val="20"/>
                <w:szCs w:val="20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一、各旅行社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bottom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bottom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单位数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国际旅行社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25.0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组团人数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534401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接待人数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596422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36.9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营业收入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302462 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4.8</w:t>
            </w:r>
            <w:r>
              <w:rPr>
                <w:rFonts w:hint="eastAsia"/>
                <w:szCs w:val="21"/>
              </w:rPr>
              <w:t>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二、主要饭店（宾馆）业务经营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单位数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47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2.2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#</w:t>
            </w:r>
            <w:r>
              <w:rPr>
                <w:rFonts w:hint="eastAsia"/>
                <w:szCs w:val="21"/>
              </w:rPr>
              <w:t>星级饭店（宾馆）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接待人数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1094014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13.8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　　 </w:t>
            </w:r>
            <w:r>
              <w:rPr>
                <w:szCs w:val="21"/>
              </w:rPr>
              <w:t>#</w:t>
            </w:r>
            <w:r>
              <w:rPr>
                <w:rFonts w:hint="eastAsia"/>
                <w:szCs w:val="21"/>
              </w:rPr>
              <w:t>接待国内游客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101945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11.8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接待海外游客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人次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83069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45.7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营业收入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58859 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-1.6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年末客房数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间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5935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2.6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年末客房床位数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张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9468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1.9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客房率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%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61.0 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上升2个百分点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三、主要景区（点）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景区（点）个数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个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接待人数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878.1 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11.3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410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营业收入</w:t>
            </w:r>
          </w:p>
        </w:tc>
        <w:tc>
          <w:tcPr>
            <w:tcW w:w="134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883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18052 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-3.6 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87" w:name="_Toc425143937"/>
      <w:bookmarkStart w:id="88" w:name="_Toc456185428"/>
      <w:bookmarkStart w:id="89" w:name="_Toc424197933"/>
      <w:r>
        <w:rPr>
          <w:rFonts w:hint="eastAsia" w:ascii="宋体" w:hAnsi="宋体" w:cs="宋体"/>
          <w:bCs w:val="0"/>
        </w:rPr>
        <w:t>吴淞口国际邮轮港邮轮停靠</w:t>
      </w:r>
      <w:bookmarkEnd w:id="87"/>
      <w:bookmarkEnd w:id="88"/>
      <w:bookmarkEnd w:id="8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8"/>
        <w:gridCol w:w="1344"/>
        <w:gridCol w:w="1895"/>
        <w:gridCol w:w="266"/>
        <w:gridCol w:w="16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4108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1344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</w:t>
            </w:r>
          </w:p>
        </w:tc>
        <w:tc>
          <w:tcPr>
            <w:tcW w:w="1895" w:type="dxa"/>
            <w:tcBorders>
              <w:top w:val="single" w:color="auto" w:sz="12" w:space="0"/>
              <w:left w:val="nil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201</w:t>
            </w:r>
            <w:r>
              <w:rPr>
                <w:rFonts w:hint="eastAsia"/>
                <w:kern w:val="0"/>
                <w:szCs w:val="21"/>
              </w:rPr>
              <w:t>5年</w:t>
            </w:r>
          </w:p>
        </w:tc>
        <w:tc>
          <w:tcPr>
            <w:tcW w:w="1895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增长</w:t>
            </w:r>
            <w:r>
              <w:rPr>
                <w:kern w:val="0"/>
                <w:szCs w:val="21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邮轮靠泊次数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艘次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279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29.2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以吴淞邮轮港为母港靠泊次数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艘次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279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邮轮旅客吞吐量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万人次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152.49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37.2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以吴淞邮轮港为母港吞吐量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149.77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4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出境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76.4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3" w:hRule="atLeast"/>
          <w:jc w:val="center"/>
        </w:trPr>
        <w:tc>
          <w:tcPr>
            <w:tcW w:w="410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入境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万人次</w:t>
            </w:r>
          </w:p>
        </w:tc>
        <w:tc>
          <w:tcPr>
            <w:tcW w:w="1895" w:type="dxa"/>
            <w:tcBorders>
              <w:top w:val="nil"/>
              <w:left w:val="nil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76.09</w:t>
            </w:r>
          </w:p>
        </w:tc>
        <w:tc>
          <w:tcPr>
            <w:tcW w:w="1895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4108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eastAsia="楷体_GB2312" w:cs="宋体"/>
                <w:kern w:val="0"/>
                <w:szCs w:val="21"/>
              </w:rPr>
            </w:pPr>
            <w:r>
              <w:rPr>
                <w:rFonts w:hint="eastAsia" w:eastAsia="楷体_GB2312" w:cs="宋体"/>
                <w:kern w:val="0"/>
                <w:szCs w:val="21"/>
              </w:rPr>
              <w:t>注：本表由区滨江委提供。</w:t>
            </w:r>
          </w:p>
        </w:tc>
        <w:tc>
          <w:tcPr>
            <w:tcW w:w="1344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2161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  <w:tc>
          <w:tcPr>
            <w:tcW w:w="162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eastAsia="楷体_GB2312"/>
                <w:kern w:val="0"/>
                <w:szCs w:val="21"/>
              </w:rPr>
            </w:pPr>
          </w:p>
        </w:tc>
      </w:tr>
    </w:tbl>
    <w:p>
      <w:pPr>
        <w:pStyle w:val="2"/>
        <w:wordWrap w:val="0"/>
        <w:spacing w:before="0" w:after="0"/>
        <w:jc w:val="right"/>
        <w:rPr>
          <w:rFonts w:ascii="黑体"/>
        </w:rPr>
      </w:pPr>
      <w:bookmarkStart w:id="90" w:name="_Toc456185429"/>
      <w:r>
        <w:rPr>
          <w:rFonts w:hint="eastAsia" w:ascii="黑体"/>
        </w:rPr>
        <w:t xml:space="preserve">规  模  以  上  服  务  </w:t>
      </w:r>
      <w:bookmarkEnd w:id="76"/>
      <w:bookmarkEnd w:id="77"/>
      <w:r>
        <w:rPr>
          <w:rFonts w:hint="eastAsia" w:ascii="黑体"/>
        </w:rPr>
        <w:t>业</w:t>
      </w:r>
      <w:bookmarkEnd w:id="90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5"/>
        <w:gridCol w:w="30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00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kern w:val="0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23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标</w:t>
            </w:r>
          </w:p>
        </w:tc>
        <w:tc>
          <w:tcPr>
            <w:tcW w:w="300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单位数（家）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一、年初存货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szCs w:val="21"/>
              </w:rPr>
              <w:t>445236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二、期末资产负债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流动资产合计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2913303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应收帐款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502328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存货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495135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货币资金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276849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短期投资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固定资产原价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1393189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本年折旧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101830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长期投资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735718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105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无形资产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52732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资产总计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6692778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负债合计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3721008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所有者权益合计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2971770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三、损益及分配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营业收入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3545240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主营业务收入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3501519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nil"/>
              <w:right w:val="single" w:color="auto" w:sz="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营业成本</w:t>
            </w:r>
          </w:p>
        </w:tc>
        <w:tc>
          <w:tcPr>
            <w:tcW w:w="3007" w:type="dxa"/>
            <w:tcBorders>
              <w:top w:val="nil"/>
              <w:left w:val="single" w:color="auto" w:sz="2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3094120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6235" w:type="dxa"/>
            <w:tcBorders>
              <w:top w:val="nil"/>
              <w:left w:val="nil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#主营业务成本</w:t>
            </w:r>
          </w:p>
        </w:tc>
        <w:tc>
          <w:tcPr>
            <w:tcW w:w="3007" w:type="dxa"/>
            <w:tcBorders>
              <w:top w:val="nil"/>
              <w:left w:val="single" w:color="auto" w:sz="2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3023444</w:t>
            </w:r>
          </w:p>
        </w:tc>
      </w:tr>
    </w:tbl>
    <w:p>
      <w:pPr>
        <w:spacing w:before="80" w:line="240" w:lineRule="exact"/>
        <w:ind w:right="-397" w:hanging="318"/>
        <w:rPr>
          <w:rFonts w:eastAsia="楷体_GB2312"/>
          <w:szCs w:val="21"/>
        </w:rPr>
      </w:pPr>
      <w:r>
        <w:rPr>
          <w:rFonts w:hint="eastAsia" w:eastAsia="楷体_GB2312"/>
          <w:szCs w:val="21"/>
        </w:rPr>
        <w:t>注：统计范围为年营业收入500万元及以上或年末从业人数50人及以上执行企业会计准则的从事居业人数50人及以上的其他服务业法人企业。</w:t>
      </w:r>
      <w:r>
        <w:rPr>
          <w:rFonts w:eastAsia="楷体_GB2312"/>
          <w:szCs w:val="21"/>
        </w:rPr>
        <w:t xml:space="preserve"> </w:t>
      </w:r>
    </w:p>
    <w:p>
      <w:pPr>
        <w:pStyle w:val="2"/>
        <w:spacing w:before="0" w:after="0"/>
        <w:jc w:val="both"/>
        <w:rPr>
          <w:rFonts w:ascii="黑体"/>
        </w:rPr>
      </w:pPr>
      <w:bookmarkStart w:id="91" w:name="_Toc423699744"/>
      <w:bookmarkStart w:id="92" w:name="_Toc424197941"/>
      <w:bookmarkStart w:id="93" w:name="_Toc425143945"/>
      <w:bookmarkStart w:id="94" w:name="_Toc425427558"/>
      <w:bookmarkStart w:id="95" w:name="_Toc456185430"/>
      <w:r>
        <w:rPr>
          <w:rFonts w:hint="eastAsia" w:ascii="黑体"/>
        </w:rPr>
        <w:t>企  业  财  务  状  况</w:t>
      </w:r>
      <w:bookmarkEnd w:id="91"/>
      <w:bookmarkEnd w:id="92"/>
      <w:bookmarkEnd w:id="93"/>
      <w:bookmarkEnd w:id="94"/>
      <w:bookmarkEnd w:id="95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3"/>
        <w:gridCol w:w="30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单位：万元、人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23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0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营业税金及附加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主营业务税金及附加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38378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销售费用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73202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管理费用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342970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税金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财务费用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23953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利息收入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     利息支出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投资收益（损失以“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”号记）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114328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营业利润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113798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营业外收入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61161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#</w:t>
            </w:r>
            <w:r>
              <w:rPr>
                <w:rFonts w:hint="eastAsia"/>
                <w:szCs w:val="21"/>
              </w:rPr>
              <w:t>政府补贴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33745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营业外支出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利润总额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164993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应交所得税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四、人工成本及增值税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应付职工薪酬（本年贷方累计发生额）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506500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应交增值税</w:t>
            </w:r>
          </w:p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78920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623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五、从事服务业活动的从业人员平均人数（人）</w:t>
            </w:r>
          </w:p>
        </w:tc>
        <w:tc>
          <w:tcPr>
            <w:tcW w:w="30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54461</w:t>
            </w:r>
          </w:p>
        </w:tc>
      </w:tr>
    </w:tbl>
    <w:p>
      <w:pPr>
        <w:ind w:left="-284" w:right="-397"/>
      </w:pPr>
      <w:r>
        <w:rPr>
          <w:rFonts w:hint="eastAsia" w:eastAsia="楷体_GB2312"/>
          <w:szCs w:val="21"/>
        </w:rPr>
        <w:t>民、修理和其他服务业，文化、体育和娱乐业法人企业，以及年营业收入1000万元及以上或年末从</w:t>
      </w:r>
    </w:p>
    <w:p>
      <w:pPr>
        <w:pStyle w:val="2"/>
        <w:spacing w:before="0" w:after="0"/>
        <w:rPr>
          <w:rFonts w:ascii="宋体" w:hAnsi="宋体" w:cs="宋体"/>
          <w:bCs w:val="0"/>
        </w:rPr>
      </w:pPr>
      <w:bookmarkStart w:id="96" w:name="_Toc424197942"/>
      <w:bookmarkStart w:id="97" w:name="_Toc425143946"/>
      <w:bookmarkStart w:id="98" w:name="_Toc456185431"/>
      <w:r>
        <w:rPr>
          <w:rFonts w:hint="eastAsia" w:ascii="宋体" w:hAnsi="宋体" w:cs="宋体"/>
          <w:bCs w:val="0"/>
        </w:rPr>
        <w:t>服务业事业单位财务状况</w:t>
      </w:r>
      <w:bookmarkEnd w:id="96"/>
      <w:bookmarkEnd w:id="97"/>
      <w:bookmarkEnd w:id="98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1"/>
        <w:gridCol w:w="34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34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单位：万元、人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5841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  标</w:t>
            </w:r>
          </w:p>
        </w:tc>
        <w:tc>
          <w:tcPr>
            <w:tcW w:w="340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单位数（家）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一、资产总计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1429533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二、累计折旧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91868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三、固定资产原价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940633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四、收入合计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818624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#</w:t>
            </w:r>
            <w:r>
              <w:rPr>
                <w:rFonts w:hint="eastAsia"/>
                <w:szCs w:val="21"/>
              </w:rPr>
              <w:t>财政补助收入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316715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事业收入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393642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经营收入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2383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五、支出合计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819898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事业支出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754724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经营支出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2031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六、经营税金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七、应付职工薪酬</w:t>
            </w:r>
          </w:p>
        </w:tc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181865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5841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八、从业人员平均人数</w:t>
            </w:r>
          </w:p>
        </w:tc>
        <w:tc>
          <w:tcPr>
            <w:tcW w:w="340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15981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before="60"/>
              <w:jc w:val="left"/>
              <w:rPr>
                <w:rFonts w:eastAsia="楷体_GB2312" w:cs="宋体"/>
                <w:spacing w:val="-2"/>
                <w:kern w:val="0"/>
                <w:szCs w:val="21"/>
              </w:rPr>
            </w:pPr>
            <w:r>
              <w:rPr>
                <w:rFonts w:hint="eastAsia" w:eastAsia="楷体_GB2312" w:cs="宋体"/>
                <w:spacing w:val="-2"/>
                <w:kern w:val="0"/>
                <w:szCs w:val="21"/>
              </w:rPr>
              <w:t>注：统计范围为从业人员年平均人数100人及以上的事业法人单位。</w:t>
            </w:r>
          </w:p>
        </w:tc>
      </w:tr>
    </w:tbl>
    <w:p>
      <w:pPr>
        <w:pStyle w:val="2"/>
        <w:spacing w:before="0" w:after="0"/>
        <w:rPr>
          <w:rFonts w:ascii="宋体" w:hAnsi="宋体" w:cs="宋体"/>
          <w:bCs w:val="0"/>
        </w:rPr>
      </w:pPr>
      <w:bookmarkStart w:id="99" w:name="_Toc424197943"/>
      <w:bookmarkStart w:id="100" w:name="_Toc425143947"/>
      <w:bookmarkStart w:id="101" w:name="_Toc456185432"/>
      <w:r>
        <w:rPr>
          <w:rFonts w:hint="eastAsia" w:ascii="宋体" w:hAnsi="宋体" w:cs="宋体"/>
          <w:bCs w:val="0"/>
        </w:rPr>
        <w:t>服务业社团及其他单位财务状况</w:t>
      </w:r>
      <w:bookmarkEnd w:id="99"/>
      <w:bookmarkEnd w:id="100"/>
      <w:bookmarkEnd w:id="101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3"/>
        <w:gridCol w:w="2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widowControl/>
              <w:jc w:val="right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单位：万元、人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6433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指    标</w:t>
            </w:r>
          </w:p>
        </w:tc>
        <w:tc>
          <w:tcPr>
            <w:tcW w:w="28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cs="宋体"/>
                <w:kern w:val="0"/>
                <w:szCs w:val="21"/>
              </w:rPr>
            </w:pPr>
            <w:r>
              <w:rPr>
                <w:rFonts w:hint="eastAsia" w:cs="宋体"/>
                <w:kern w:val="0"/>
                <w:szCs w:val="21"/>
              </w:rPr>
              <w:t>2015年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单位数（家）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一、资产总计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63459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二、固定资产原价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50967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三、收入合计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23412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捐赠收入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会费收入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提供服务收入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8982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政府补助收入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四、费用合计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22967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#</w:t>
            </w:r>
            <w:r>
              <w:rPr>
                <w:rFonts w:hint="eastAsia"/>
                <w:szCs w:val="21"/>
              </w:rPr>
              <w:t>业务活动成本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18993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#</w:t>
            </w:r>
            <w:r>
              <w:rPr>
                <w:rFonts w:hint="eastAsia"/>
                <w:szCs w:val="21"/>
              </w:rPr>
              <w:t>人员费用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7719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日常费用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固定资产折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税费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管理费用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3673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#</w:t>
            </w:r>
            <w:r>
              <w:rPr>
                <w:rFonts w:hint="eastAsia"/>
                <w:szCs w:val="21"/>
              </w:rPr>
              <w:t>人员费用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1604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日常费用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固定资产折旧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 xml:space="preserve">         </w:t>
            </w:r>
            <w:r>
              <w:rPr>
                <w:rFonts w:hint="eastAsia"/>
                <w:szCs w:val="21"/>
              </w:rPr>
              <w:t>税费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五、净资产变动额</w:t>
            </w:r>
          </w:p>
        </w:tc>
        <w:tc>
          <w:tcPr>
            <w:tcW w:w="2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433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六、从业人员平均人数</w:t>
            </w:r>
          </w:p>
        </w:tc>
        <w:tc>
          <w:tcPr>
            <w:tcW w:w="28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242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spacing w:before="60"/>
              <w:jc w:val="left"/>
              <w:rPr>
                <w:rFonts w:ascii="楷体_GB2312" w:eastAsia="楷体_GB2312" w:cs="宋体"/>
                <w:spacing w:val="-2"/>
                <w:kern w:val="0"/>
                <w:szCs w:val="21"/>
              </w:rPr>
            </w:pPr>
            <w:r>
              <w:rPr>
                <w:rFonts w:hint="eastAsia" w:ascii="楷体_GB2312" w:eastAsia="楷体_GB2312" w:cs="宋体"/>
                <w:spacing w:val="-2"/>
                <w:kern w:val="0"/>
                <w:szCs w:val="21"/>
              </w:rPr>
              <w:t>注：统计范围为从业人员年平均人数100人及以上的社团法人单位。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02" w:name="_Toc424197944"/>
      <w:bookmarkStart w:id="103" w:name="_Toc425143948"/>
      <w:bookmarkStart w:id="104" w:name="_Toc456185433"/>
      <w:r>
        <w:rPr>
          <w:rFonts w:hint="eastAsia" w:ascii="黑体"/>
        </w:rPr>
        <w:t>“一带三线五园”</w:t>
      </w:r>
      <w:bookmarkEnd w:id="102"/>
      <w:bookmarkEnd w:id="103"/>
      <w:r>
        <w:rPr>
          <w:rFonts w:hint="eastAsia" w:ascii="黑体"/>
        </w:rPr>
        <w:t>服务业载体（一）</w:t>
      </w:r>
      <w:bookmarkEnd w:id="104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2"/>
        <w:gridCol w:w="1245"/>
        <w:gridCol w:w="1138"/>
        <w:gridCol w:w="1109"/>
        <w:gridCol w:w="1109"/>
        <w:gridCol w:w="1109"/>
        <w:gridCol w:w="1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2432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138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滨江带</w:t>
            </w:r>
          </w:p>
        </w:tc>
        <w:tc>
          <w:tcPr>
            <w:tcW w:w="11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一号线</w:t>
            </w:r>
          </w:p>
        </w:tc>
        <w:tc>
          <w:tcPr>
            <w:tcW w:w="11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三号线</w:t>
            </w:r>
          </w:p>
        </w:tc>
        <w:tc>
          <w:tcPr>
            <w:tcW w:w="110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七号线</w:t>
            </w:r>
          </w:p>
        </w:tc>
        <w:tc>
          <w:tcPr>
            <w:tcW w:w="1100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五园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载体数（个）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13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建筑面积（万m</w:t>
            </w:r>
            <w:r>
              <w:rPr>
                <w:rFonts w:hint="eastAsia"/>
                <w:sz w:val="20"/>
                <w:szCs w:val="20"/>
                <w:vertAlign w:val="superscript"/>
              </w:rPr>
              <w:t>2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96.9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128.8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86.2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单位数（户）</w:t>
            </w:r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10695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#</w:t>
            </w:r>
            <w:r>
              <w:rPr>
                <w:rFonts w:hint="eastAsia"/>
                <w:sz w:val="20"/>
                <w:szCs w:val="20"/>
              </w:rPr>
              <w:t>落地单位数（户）</w:t>
            </w:r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6279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税收收入（万元）</w:t>
            </w:r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228189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34405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46077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83174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59552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区级税收（万元）</w:t>
            </w:r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86609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10415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14973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38372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2049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43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单位面积税收</w:t>
            </w:r>
          </w:p>
          <w:p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（元/m</w:t>
            </w:r>
            <w:r>
              <w:rPr>
                <w:rFonts w:hint="eastAsia"/>
                <w:sz w:val="20"/>
                <w:szCs w:val="20"/>
                <w:vertAlign w:val="superscript"/>
              </w:rPr>
              <w:t>2</w:t>
            </w:r>
            <w:r>
              <w:rPr>
                <w:rFonts w:hint="eastAsia"/>
                <w:sz w:val="20"/>
                <w:szCs w:val="20"/>
              </w:rPr>
              <w:t>）</w:t>
            </w:r>
          </w:p>
        </w:tc>
        <w:tc>
          <w:tcPr>
            <w:tcW w:w="1245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524.0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324.0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331.0</w:t>
            </w:r>
          </w:p>
        </w:tc>
        <w:tc>
          <w:tcPr>
            <w:tcW w:w="1109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428.7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95.2</w:t>
            </w:r>
          </w:p>
        </w:tc>
      </w:tr>
    </w:tbl>
    <w:p>
      <w:pPr>
        <w:pStyle w:val="2"/>
        <w:spacing w:before="0" w:after="0"/>
        <w:rPr>
          <w:rFonts w:ascii="黑体"/>
        </w:rPr>
      </w:pPr>
      <w:bookmarkStart w:id="105" w:name="_Toc423699748"/>
      <w:bookmarkStart w:id="106" w:name="_Toc424197945"/>
      <w:bookmarkStart w:id="107" w:name="_Toc425143949"/>
      <w:bookmarkStart w:id="108" w:name="_Toc425427562"/>
      <w:bookmarkStart w:id="109" w:name="_Toc456185434"/>
      <w:r>
        <w:rPr>
          <w:rFonts w:hint="eastAsia" w:ascii="黑体"/>
        </w:rPr>
        <w:t>“一带三线五园”服务业载体（二）</w:t>
      </w:r>
      <w:bookmarkEnd w:id="105"/>
      <w:bookmarkEnd w:id="106"/>
      <w:bookmarkEnd w:id="107"/>
      <w:bookmarkEnd w:id="108"/>
      <w:bookmarkEnd w:id="109"/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1411"/>
        <w:gridCol w:w="1412"/>
        <w:gridCol w:w="1411"/>
        <w:gridCol w:w="1412"/>
        <w:gridCol w:w="15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2055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街镇</w:t>
            </w:r>
          </w:p>
        </w:tc>
        <w:tc>
          <w:tcPr>
            <w:tcW w:w="141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载体数</w:t>
            </w:r>
          </w:p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（个）</w:t>
            </w:r>
          </w:p>
        </w:tc>
        <w:tc>
          <w:tcPr>
            <w:tcW w:w="141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建筑面积</w:t>
            </w:r>
          </w:p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（万平方米）</w:t>
            </w:r>
          </w:p>
        </w:tc>
        <w:tc>
          <w:tcPr>
            <w:tcW w:w="141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单位数</w:t>
            </w:r>
          </w:p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（户）</w:t>
            </w:r>
          </w:p>
        </w:tc>
        <w:tc>
          <w:tcPr>
            <w:tcW w:w="1412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税收收入</w:t>
            </w:r>
          </w:p>
          <w:p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（万元）</w:t>
            </w:r>
          </w:p>
        </w:tc>
        <w:tc>
          <w:tcPr>
            <w:tcW w:w="1541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</w:t>
            </w:r>
            <w:r>
              <w:rPr>
                <w:rFonts w:hint="eastAsia"/>
                <w:sz w:val="20"/>
                <w:szCs w:val="20"/>
              </w:rPr>
              <w:t>区级税收收入（万元）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合计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90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429.4</w:t>
            </w:r>
          </w:p>
        </w:tc>
        <w:tc>
          <w:tcPr>
            <w:tcW w:w="141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10695</w:t>
            </w:r>
          </w:p>
        </w:tc>
        <w:tc>
          <w:tcPr>
            <w:tcW w:w="141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228189</w:t>
            </w:r>
          </w:p>
        </w:tc>
        <w:tc>
          <w:tcPr>
            <w:tcW w:w="154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Cs w:val="21"/>
              </w:rPr>
            </w:pPr>
            <w:r>
              <w:rPr>
                <w:rFonts w:ascii="Arial" w:hAnsi="Arial" w:cs="Arial"/>
                <w:b/>
                <w:bCs/>
                <w:szCs w:val="21"/>
              </w:rPr>
              <w:t>86609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罗店镇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2.9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大场镇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69.0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1385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58083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20208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杨行镇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68.3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2090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66345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32767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顾村镇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17.4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2520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高境镇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62.7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1817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15022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4397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庙行镇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35.3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1425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30975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10317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淞南镇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60.9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1679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12876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4092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友谊路街道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41.3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712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24859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6832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　吴淞街道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38.4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696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10988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4224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ind w:firstLine="210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张庙街道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16.0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427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3922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1772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城市工业园区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6.1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2468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1077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205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宝山工业园区</w:t>
            </w:r>
          </w:p>
        </w:tc>
        <w:tc>
          <w:tcPr>
            <w:tcW w:w="1411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11.0</w:t>
            </w:r>
          </w:p>
        </w:tc>
        <w:tc>
          <w:tcPr>
            <w:tcW w:w="141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1412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1.5</w:t>
            </w:r>
          </w:p>
        </w:tc>
        <w:tc>
          <w:tcPr>
            <w:tcW w:w="1541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0.3</w:t>
            </w:r>
          </w:p>
        </w:tc>
      </w:tr>
    </w:tbl>
    <w:p>
      <w:pPr>
        <w:rPr>
          <w:szCs w:val="21"/>
        </w:rPr>
      </w:pPr>
      <w:bookmarkStart w:id="110" w:name="_GoBack"/>
      <w:bookmarkEnd w:id="110"/>
    </w:p>
    <w:sectPr>
      <w:headerReference r:id="rId11" w:type="first"/>
      <w:footerReference r:id="rId12" w:type="first"/>
      <w:headerReference r:id="rId9" w:type="default"/>
      <w:headerReference r:id="rId10" w:type="even"/>
      <w:pgSz w:w="10433" w:h="14742"/>
      <w:pgMar w:top="1474" w:right="1021" w:bottom="1134" w:left="1021" w:header="680" w:footer="794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3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  <w:rFonts w:hint="eastAsia"/>
      </w:rPr>
      <w:t>—</w:t>
    </w: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</w:t>
    </w:r>
    <w:r>
      <w:rPr>
        <w:rStyle w:val="17"/>
      </w:rPr>
      <w:fldChar w:fldCharType="end"/>
    </w:r>
    <w:r>
      <w:rPr>
        <w:rStyle w:val="17"/>
        <w:rFonts w:hint="eastAsia"/>
      </w:rPr>
      <w:t>—</w:t>
    </w:r>
  </w:p>
  <w:p>
    <w:pPr>
      <w:pStyle w:val="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9"/>
      <w:framePr w:wrap="around" w:hAnchor="margin" w:vAnchor="text" w:xAlign="outside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29</w:t>
    </w:r>
    <w:r>
      <w:rPr>
        <w:rStyle w:val="17"/>
      </w:rPr>
      <w:fldChar w:fldCharType="end"/>
    </w:r>
  </w:p>
  <w:p>
    <w:pPr>
      <w:pStyle w:val="9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3" o:spid="_x0000_s1025" style="position:absolute;left:0;margin-left:313.45pt;margin-top:16.7pt;height:0.05pt;width:127.55pt;rotation:0f;z-index:251666432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工业、能源、建筑业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2" o:spid="_x0000_s1026" style="position:absolute;left:0;margin-left:-20.7pt;margin-top:16.7pt;height:0.05pt;width:127.25pt;rotation:0f;z-index:251665408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工业、能源、建筑业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right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5" o:spid="_x0000_s1027" style="position:absolute;left:0;margin-left:272.3pt;margin-top:16.75pt;height:0.05pt;width:175.75pt;rotation:0f;z-index:251667456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交运仓储、批发零售业、服务业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  <w:ind w:left="-397" w:right="-397"/>
      <w:jc w:val="both"/>
      <w:rPr>
        <w:rFonts w:eastAsia="黑体"/>
        <w:sz w:val="24"/>
        <w:szCs w:val="24"/>
      </w:rPr>
    </w:pPr>
    <w:r>
      <w:rPr>
        <w:rFonts w:ascii="Times New Roman" w:hAnsi="Times New Roman" w:eastAsia="黑体" w:cs="Times New Roman"/>
        <w:kern w:val="2"/>
        <w:sz w:val="24"/>
        <w:szCs w:val="24"/>
        <w:lang w:val="en-US" w:eastAsia="zh-CN" w:bidi="ar-SA"/>
      </w:rPr>
      <w:pict>
        <v:line id="_x0000_s2066" o:spid="_x0000_s1028" style="position:absolute;left:0;flip:y;margin-left:-20.7pt;margin-top:16.15pt;height:0.05pt;width:175.45pt;rotation:0f;z-index:251668480;" o:ole="f" fillcolor="#FFFFFF" filled="f" o:preferrelative="t" stroked="t" coordsize="21600,21600">
          <v:fill on="f" color2="#FFFFFF" focus="0%"/>
          <v:stroke color="#000000" color2="#FFFFFF" miterlimit="2"/>
          <v:imagedata gain="65536f" blacklevel="0f" gamma="0"/>
          <o:lock v:ext="edit" position="f" selection="f" grouping="f" rotation="f" cropping="f" text="f" aspectratio="f"/>
        </v:line>
      </w:pict>
    </w:r>
    <w:r>
      <w:rPr>
        <w:rFonts w:hint="eastAsia" w:eastAsia="黑体"/>
        <w:sz w:val="24"/>
        <w:szCs w:val="24"/>
      </w:rPr>
      <w:t>交运仓储、批发零售业、服务业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10"/>
    </w:pPr>
    <w:r>
      <w:rPr>
        <w:rFonts w:hint="eastAsia" w:eastAsia="黑体"/>
        <w:sz w:val="24"/>
        <w:szCs w:val="24"/>
      </w:rPr>
      <w:t>交运仓储邮电业、批发零售业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nhideWhenUsed="0" w:uiPriority="39" w:semiHidden="0" w:name="toc 4"/>
    <w:lsdException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0" w:after="400" w:line="360" w:lineRule="auto"/>
      <w:jc w:val="center"/>
      <w:outlineLvl w:val="0"/>
    </w:pPr>
    <w:rPr>
      <w:rFonts w:eastAsia="黑体"/>
      <w:bCs/>
      <w:snapToGrid w:val="0"/>
      <w:kern w:val="0"/>
      <w:sz w:val="36"/>
      <w:szCs w:val="36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00" w:after="100" w:line="360" w:lineRule="auto"/>
      <w:ind w:firstLine="482"/>
      <w:outlineLvl w:val="1"/>
    </w:pPr>
    <w:rPr>
      <w:rFonts w:eastAsia="黑体"/>
      <w:bCs/>
      <w:snapToGrid w:val="0"/>
      <w:kern w:val="0"/>
      <w:sz w:val="28"/>
      <w:szCs w:val="28"/>
    </w:rPr>
  </w:style>
  <w:style w:type="paragraph" w:styleId="4">
    <w:name w:val="heading 3"/>
    <w:basedOn w:val="1"/>
    <w:qFormat/>
    <w:uiPriority w:val="0"/>
    <w:pPr>
      <w:widowControl/>
      <w:spacing w:before="120" w:after="60" w:line="360" w:lineRule="auto"/>
      <w:ind w:firstLine="482"/>
      <w:outlineLvl w:val="2"/>
    </w:pPr>
    <w:rPr>
      <w:rFonts w:eastAsia="黑体" w:cs="宋体"/>
      <w:bCs/>
      <w:snapToGrid w:val="0"/>
      <w:kern w:val="0"/>
      <w:sz w:val="24"/>
    </w:rPr>
  </w:style>
  <w:style w:type="character" w:default="1" w:styleId="15">
    <w:name w:val="Default Paragraph Font"/>
    <w:semiHidden/>
    <w:unhideWhenUsed/>
    <w:uiPriority w:val="1"/>
  </w:style>
  <w:style w:type="paragraph" w:styleId="5">
    <w:name w:val="Document Map"/>
    <w:basedOn w:val="1"/>
    <w:semiHidden/>
    <w:uiPriority w:val="0"/>
    <w:pPr>
      <w:shd w:val="clear" w:color="auto" w:fill="000080"/>
    </w:pPr>
  </w:style>
  <w:style w:type="paragraph" w:styleId="6">
    <w:name w:val="Date"/>
    <w:basedOn w:val="1"/>
    <w:next w:val="1"/>
    <w:uiPriority w:val="0"/>
    <w:pPr>
      <w:ind w:left="100" w:leftChars="2500"/>
    </w:pPr>
  </w:style>
  <w:style w:type="paragraph" w:styleId="7">
    <w:name w:val="endnote text"/>
    <w:basedOn w:val="1"/>
    <w:link w:val="27"/>
    <w:uiPriority w:val="0"/>
    <w:pPr>
      <w:snapToGrid w:val="0"/>
      <w:jc w:val="left"/>
    </w:pPr>
  </w:style>
  <w:style w:type="paragraph" w:styleId="8">
    <w:name w:val="Balloon Text"/>
    <w:basedOn w:val="1"/>
    <w:link w:val="28"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uiPriority w:val="39"/>
    <w:pPr>
      <w:tabs>
        <w:tab w:val="right" w:leader="middleDot" w:pos="8381"/>
      </w:tabs>
      <w:spacing w:line="324" w:lineRule="auto"/>
    </w:pPr>
  </w:style>
  <w:style w:type="paragraph" w:styleId="12">
    <w:name w:val="footnote text"/>
    <w:basedOn w:val="1"/>
    <w:link w:val="29"/>
    <w:semiHidden/>
    <w:uiPriority w:val="0"/>
    <w:pPr>
      <w:snapToGrid w:val="0"/>
      <w:jc w:val="left"/>
    </w:pPr>
    <w:rPr>
      <w:sz w:val="18"/>
      <w:szCs w:val="18"/>
    </w:rPr>
  </w:style>
  <w:style w:type="paragraph" w:styleId="13">
    <w:name w:val="toc 2"/>
    <w:basedOn w:val="1"/>
    <w:next w:val="1"/>
    <w:uiPriority w:val="39"/>
    <w:pPr>
      <w:tabs>
        <w:tab w:val="right" w:leader="middleDot" w:pos="8381"/>
      </w:tabs>
      <w:spacing w:before="300" w:after="60" w:line="360" w:lineRule="auto"/>
      <w:jc w:val="center"/>
    </w:pPr>
    <w:rPr>
      <w:rFonts w:ascii="方正大标宋简体" w:eastAsia="方正大标宋简体"/>
      <w:sz w:val="28"/>
      <w:szCs w:val="28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16">
    <w:name w:val="endnote reference"/>
    <w:basedOn w:val="15"/>
    <w:uiPriority w:val="0"/>
    <w:rPr>
      <w:vertAlign w:val="superscript"/>
    </w:rPr>
  </w:style>
  <w:style w:type="character" w:styleId="17">
    <w:name w:val="page number"/>
    <w:basedOn w:val="15"/>
    <w:uiPriority w:val="0"/>
    <w:rPr/>
  </w:style>
  <w:style w:type="character" w:styleId="18">
    <w:name w:val="Hyperlink"/>
    <w:basedOn w:val="15"/>
    <w:uiPriority w:val="99"/>
    <w:rPr>
      <w:color w:val="0000FF"/>
      <w:u w:val="single"/>
    </w:rPr>
  </w:style>
  <w:style w:type="paragraph" w:customStyle="1" w:styleId="19">
    <w:name w:val="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0">
    <w:name w:val="样式1"/>
    <w:basedOn w:val="1"/>
    <w:uiPriority w:val="0"/>
    <w:pPr>
      <w:adjustRightInd w:val="0"/>
      <w:snapToGrid w:val="0"/>
      <w:spacing w:line="360" w:lineRule="auto"/>
      <w:jc w:val="center"/>
    </w:pPr>
    <w:rPr>
      <w:b/>
      <w:snapToGrid w:val="0"/>
      <w:color w:val="000000"/>
      <w:kern w:val="0"/>
      <w:szCs w:val="21"/>
    </w:rPr>
  </w:style>
  <w:style w:type="paragraph" w:customStyle="1" w:styleId="21">
    <w:name w:val="Char"/>
    <w:basedOn w:val="1"/>
    <w:uiPriority w:val="0"/>
    <w:rPr>
      <w:rFonts w:eastAsia="仿宋_GB2312"/>
      <w:sz w:val="32"/>
      <w:szCs w:val="20"/>
    </w:rPr>
  </w:style>
  <w:style w:type="paragraph" w:customStyle="1" w:styleId="22">
    <w:name w:val="默认段落字体 Para 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23">
    <w:name w:val="Char1"/>
    <w:basedOn w:val="1"/>
    <w:uiPriority w:val="0"/>
    <w:pPr>
      <w:spacing w:line="360" w:lineRule="auto"/>
      <w:ind w:firstLine="210"/>
      <w:jc w:val="left"/>
    </w:pPr>
    <w:rPr>
      <w:rFonts w:eastAsia="仿宋_GB2312"/>
      <w:sz w:val="24"/>
    </w:rPr>
  </w:style>
  <w:style w:type="paragraph" w:customStyle="1" w:styleId="24">
    <w:name w:val="Char Char Char Char Char Char Char Char Char"/>
    <w:basedOn w:val="1"/>
    <w:uiPriority w:val="0"/>
    <w:pPr>
      <w:widowControl/>
      <w:jc w:val="left"/>
    </w:pPr>
    <w:rPr>
      <w:kern w:val="0"/>
      <w:sz w:val="20"/>
      <w:szCs w:val="20"/>
    </w:rPr>
  </w:style>
  <w:style w:type="paragraph" w:customStyle="1" w:styleId="25">
    <w:name w:val="Char Char Char Char1"/>
    <w:basedOn w:val="1"/>
    <w:uiPriority w:val="0"/>
    <w:rPr>
      <w:rFonts w:ascii="Tahoma" w:hAnsi="Tahoma"/>
      <w:sz w:val="24"/>
      <w:szCs w:val="20"/>
    </w:rPr>
  </w:style>
  <w:style w:type="paragraph" w:customStyle="1" w:styleId="26">
    <w:name w:val="Char Char1 Char"/>
    <w:basedOn w:val="1"/>
    <w:uiPriority w:val="0"/>
    <w:pPr>
      <w:widowControl/>
      <w:spacing w:after="160" w:line="240" w:lineRule="exact"/>
      <w:jc w:val="left"/>
    </w:pPr>
    <w:rPr>
      <w:rFonts w:ascii="Tahoma" w:hAnsi="Tahoma"/>
      <w:kern w:val="0"/>
      <w:sz w:val="24"/>
      <w:szCs w:val="21"/>
      <w:lang w:eastAsia="en-US"/>
    </w:rPr>
  </w:style>
  <w:style w:type="character" w:customStyle="1" w:styleId="27">
    <w:name w:val="尾注文本 Char"/>
    <w:basedOn w:val="15"/>
    <w:link w:val="7"/>
    <w:uiPriority w:val="0"/>
    <w:rPr>
      <w:kern w:val="2"/>
      <w:sz w:val="21"/>
      <w:szCs w:val="24"/>
    </w:rPr>
  </w:style>
  <w:style w:type="character" w:customStyle="1" w:styleId="28">
    <w:name w:val="批注框文本 Char"/>
    <w:basedOn w:val="15"/>
    <w:link w:val="8"/>
    <w:uiPriority w:val="0"/>
    <w:rPr>
      <w:kern w:val="2"/>
      <w:sz w:val="18"/>
      <w:szCs w:val="18"/>
    </w:rPr>
  </w:style>
  <w:style w:type="character" w:customStyle="1" w:styleId="29">
    <w:name w:val="脚注文本 Char"/>
    <w:basedOn w:val="15"/>
    <w:link w:val="12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0">
    <w:name w:val="description"/>
    <w:basedOn w:val="15"/>
    <w:uiPriority w:val="0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header" Target="header5.xml"/><Relationship Id="rId11" Type="http://schemas.openxmlformats.org/officeDocument/2006/relationships/header" Target="header6.xml"/><Relationship Id="rId12" Type="http://schemas.openxmlformats.org/officeDocument/2006/relationships/footer" Target="footer3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297</Pages>
  <Words>23297</Words>
  <Characters>132795</Characters>
  <Lines>1106</Lines>
  <Paragraphs>311</Paragraphs>
  <TotalTime>0</TotalTime>
  <ScaleCrop>false</ScaleCrop>
  <LinksUpToDate>false</LinksUpToDate>
  <CharactersWithSpaces>0</CharactersWithSpaces>
  <Application>WPS Office 个人版_9.1.0.4555_{F1E327BC-269C-435d-A152-05C5408002CA}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2016-07-02T02:16:00Z</dcterms:created>
  <dc:creator>User</dc:creator>
  <cp:lastModifiedBy>tjj</cp:lastModifiedBy>
  <cp:lastPrinted>2016-07-13T07:04:00Z</cp:lastPrinted>
  <dcterms:modified xsi:type="dcterms:W3CDTF">2016-10-17T02:34:45Z</dcterms:modified>
  <dc:title>宝山统计资料汇编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2052-9.1.0.4555</vt:lpwstr>
  </property>
</Properties>
</file>