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header+xml" PartName="/word/header4.xml"/>
  <Override ContentType="application/vnd.openxmlformats-officedocument.wordprocessingml.header+xml" PartName="/word/header5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  <w:r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pict>
          <v:shape id="_x0000_s1873" o:spid="_x0000_s1030" type="#_x0000_t202" style="position:absolute;left:0;margin-left:-23.7pt;margin-top:11.3pt;height:70.85pt;width:467.7pt;rotation:0f;z-index:-251648000;" o:ole="f" fillcolor="#969696" filled="t" o:preferrelative="t" stroked="f" coordorigin="0,0" coordsize="21600,21600">
            <v:imagedata gain="65536f" blacklevel="0f" gamma="0"/>
            <o:lock v:ext="edit" position="f" selection="f" grouping="f" rotation="f" cropping="f" text="f" aspectratio="f"/>
            <v:textbox>
              <w:txbxContent>
                <w:p/>
              </w:txbxContent>
            </v:textbox>
          </v:shape>
        </w:pict>
      </w:r>
    </w:p>
    <w:p>
      <w:pPr>
        <w:pStyle w:val="3"/>
        <w:ind w:firstLine="0"/>
        <w:jc w:val="center"/>
        <w:rPr>
          <w:rFonts w:ascii="方正大标宋简体" w:eastAsia="方正大标宋简体"/>
          <w:sz w:val="56"/>
          <w:szCs w:val="72"/>
        </w:rPr>
      </w:pPr>
      <w:bookmarkStart w:id="0" w:name="_Toc424198043"/>
      <w:bookmarkStart w:id="1" w:name="_Toc456185531"/>
      <w:r>
        <w:rPr>
          <w:rFonts w:hint="eastAsia" w:ascii="方正大标宋简体" w:eastAsia="方正大标宋简体"/>
          <w:sz w:val="56"/>
          <w:szCs w:val="72"/>
        </w:rPr>
        <w:t>十一、治安、司法和其他</w:t>
      </w:r>
      <w:bookmarkEnd w:id="0"/>
      <w:bookmarkEnd w:id="1"/>
    </w:p>
    <w:p>
      <w:pPr>
        <w:rPr>
          <w:szCs w:val="21"/>
        </w:rPr>
      </w:pPr>
    </w:p>
    <w:p>
      <w:pPr>
        <w:rPr>
          <w:szCs w:val="21"/>
        </w:r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pgSz w:w="10433" w:h="14742"/>
          <w:pgMar w:top="1474" w:right="1021" w:bottom="1134" w:left="1021" w:header="680" w:footer="794" w:gutter="0"/>
          <w:cols w:space="720" w:num="1"/>
          <w:titlePg/>
          <w:docGrid w:linePitch="312" w:charSpace="0"/>
        </w:sectPr>
      </w:pPr>
    </w:p>
    <w:p>
      <w:pPr>
        <w:pStyle w:val="2"/>
        <w:spacing w:before="0" w:after="0"/>
        <w:rPr>
          <w:rFonts w:ascii="黑体"/>
        </w:rPr>
      </w:pPr>
      <w:bookmarkStart w:id="2" w:name="_Toc424198044"/>
      <w:bookmarkStart w:id="3" w:name="_Toc425144040"/>
      <w:bookmarkStart w:id="4" w:name="_Toc456185532"/>
      <w:r>
        <w:rPr>
          <w:rFonts w:hint="eastAsia" w:ascii="黑体"/>
        </w:rPr>
        <w:t>社  会  治  安</w:t>
      </w:r>
      <w:bookmarkEnd w:id="2"/>
      <w:bookmarkEnd w:id="3"/>
      <w:bookmarkEnd w:id="4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41"/>
        <w:gridCol w:w="1704"/>
        <w:gridCol w:w="1828"/>
        <w:gridCol w:w="176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941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    标</w:t>
            </w:r>
          </w:p>
        </w:tc>
        <w:tc>
          <w:tcPr>
            <w:tcW w:w="1704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单位</w:t>
            </w:r>
          </w:p>
        </w:tc>
        <w:tc>
          <w:tcPr>
            <w:tcW w:w="1828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年</w:t>
            </w:r>
          </w:p>
        </w:tc>
        <w:tc>
          <w:tcPr>
            <w:tcW w:w="1769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kern w:val="0"/>
                <w:szCs w:val="21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  <w:jc w:val="center"/>
        </w:trPr>
        <w:tc>
          <w:tcPr>
            <w:tcW w:w="394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一、刑事案件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　</w:t>
            </w:r>
          </w:p>
        </w:tc>
        <w:tc>
          <w:tcPr>
            <w:tcW w:w="1828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　</w:t>
            </w:r>
          </w:p>
        </w:tc>
        <w:tc>
          <w:tcPr>
            <w:tcW w:w="1769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  <w:jc w:val="center"/>
        </w:trPr>
        <w:tc>
          <w:tcPr>
            <w:tcW w:w="394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立案数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起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12598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  <w:jc w:val="center"/>
        </w:trPr>
        <w:tc>
          <w:tcPr>
            <w:tcW w:w="394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破案数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起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3172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  <w:jc w:val="center"/>
        </w:trPr>
        <w:tc>
          <w:tcPr>
            <w:tcW w:w="394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刑事案件作案人员中青少年比重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23.0 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22.3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  <w:jc w:val="center"/>
        </w:trPr>
        <w:tc>
          <w:tcPr>
            <w:tcW w:w="394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二、治安案件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　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　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  <w:jc w:val="center"/>
        </w:trPr>
        <w:tc>
          <w:tcPr>
            <w:tcW w:w="394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受理数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起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75522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  <w:jc w:val="center"/>
        </w:trPr>
        <w:tc>
          <w:tcPr>
            <w:tcW w:w="394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查处数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起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75520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  <w:jc w:val="center"/>
        </w:trPr>
        <w:tc>
          <w:tcPr>
            <w:tcW w:w="3941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查处违法人员数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人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7188</w:t>
            </w:r>
          </w:p>
        </w:tc>
        <w:tc>
          <w:tcPr>
            <w:tcW w:w="176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3941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 w:cs="宋体"/>
                <w:kern w:val="0"/>
                <w:szCs w:val="21"/>
              </w:rPr>
            </w:pPr>
            <w:r>
              <w:rPr>
                <w:rFonts w:hint="eastAsia" w:eastAsia="楷体_GB2312" w:cs="宋体"/>
                <w:kern w:val="0"/>
                <w:szCs w:val="21"/>
              </w:rPr>
              <w:t>注：</w:t>
            </w:r>
            <w:r>
              <w:rPr>
                <w:rFonts w:eastAsia="楷体_GB2312"/>
                <w:kern w:val="0"/>
                <w:szCs w:val="21"/>
              </w:rPr>
              <w:t>P2</w:t>
            </w:r>
            <w:r>
              <w:rPr>
                <w:rFonts w:hint="eastAsia" w:eastAsia="楷体_GB2312"/>
                <w:kern w:val="0"/>
                <w:szCs w:val="21"/>
              </w:rPr>
              <w:t>68</w:t>
            </w:r>
            <w:r>
              <w:rPr>
                <w:rFonts w:eastAsia="楷体_GB2312"/>
                <w:kern w:val="0"/>
                <w:szCs w:val="21"/>
              </w:rPr>
              <w:t>—P2</w:t>
            </w:r>
            <w:r>
              <w:rPr>
                <w:rFonts w:hint="eastAsia" w:eastAsia="楷体_GB2312"/>
                <w:kern w:val="0"/>
                <w:szCs w:val="21"/>
              </w:rPr>
              <w:t>70</w:t>
            </w:r>
            <w:r>
              <w:rPr>
                <w:rFonts w:hint="eastAsia" w:eastAsia="楷体_GB2312" w:cs="宋体"/>
                <w:kern w:val="0"/>
                <w:szCs w:val="21"/>
              </w:rPr>
              <w:t>由区公安分局提供。</w:t>
            </w:r>
          </w:p>
        </w:tc>
        <w:tc>
          <w:tcPr>
            <w:tcW w:w="170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82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769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>
      <w:pPr>
        <w:pStyle w:val="2"/>
        <w:spacing w:before="0" w:after="0"/>
        <w:rPr>
          <w:rFonts w:ascii="黑体"/>
        </w:rPr>
      </w:pPr>
      <w:bookmarkStart w:id="5" w:name="_Toc424198045"/>
      <w:bookmarkStart w:id="6" w:name="_Toc425144041"/>
      <w:bookmarkStart w:id="7" w:name="_Toc456185533"/>
      <w:r>
        <w:rPr>
          <w:rFonts w:hint="eastAsia" w:ascii="黑体"/>
        </w:rPr>
        <w:t>交通事故和交通违章</w:t>
      </w:r>
      <w:bookmarkEnd w:id="5"/>
      <w:bookmarkEnd w:id="6"/>
      <w:bookmarkEnd w:id="7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0"/>
        <w:gridCol w:w="1778"/>
        <w:gridCol w:w="1778"/>
        <w:gridCol w:w="177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910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1778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1778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年</w:t>
            </w:r>
          </w:p>
        </w:tc>
        <w:tc>
          <w:tcPr>
            <w:tcW w:w="1776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kern w:val="0"/>
                <w:szCs w:val="21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9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一、交通事故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9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发生数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起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148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9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死亡人数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90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9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受伤人数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80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9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损失折款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9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二、交通违章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9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处理违法人次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万人次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72.18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65.85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9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机动车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万人次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59.58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45.05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9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非机动车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万人次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8.81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18.61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9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行人和乘车人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万人次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3.79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9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#处罚人次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万人次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51.21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65.59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9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机动车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万人次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47.95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45.01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9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　非机动车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万人次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3.21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18.52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3910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　行人和乘车人</w:t>
            </w:r>
          </w:p>
        </w:tc>
        <w:tc>
          <w:tcPr>
            <w:tcW w:w="1778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万人次</w:t>
            </w:r>
          </w:p>
        </w:tc>
        <w:tc>
          <w:tcPr>
            <w:tcW w:w="1778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0.04</w:t>
            </w:r>
          </w:p>
        </w:tc>
        <w:tc>
          <w:tcPr>
            <w:tcW w:w="177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2.06</w:t>
            </w:r>
          </w:p>
        </w:tc>
      </w:tr>
    </w:tbl>
    <w:p>
      <w:pPr>
        <w:pStyle w:val="2"/>
        <w:spacing w:before="0" w:after="0"/>
        <w:rPr>
          <w:rFonts w:ascii="黑体"/>
        </w:rPr>
      </w:pPr>
      <w:r>
        <w:rPr>
          <w:szCs w:val="21"/>
        </w:rPr>
        <w:br w:type="page"/>
      </w:r>
      <w:bookmarkStart w:id="8" w:name="_Toc424198046"/>
      <w:bookmarkStart w:id="9" w:name="_Toc425144042"/>
      <w:bookmarkStart w:id="10" w:name="_Toc456185534"/>
      <w:r>
        <w:rPr>
          <w:rFonts w:hint="eastAsia" w:ascii="黑体"/>
        </w:rPr>
        <w:t>火灾事故与消防</w:t>
      </w:r>
      <w:bookmarkEnd w:id="8"/>
      <w:bookmarkEnd w:id="9"/>
      <w:bookmarkEnd w:id="10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67"/>
        <w:gridCol w:w="1925"/>
        <w:gridCol w:w="1925"/>
        <w:gridCol w:w="19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467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1925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1925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年</w:t>
            </w:r>
          </w:p>
        </w:tc>
        <w:tc>
          <w:tcPr>
            <w:tcW w:w="1925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kern w:val="0"/>
                <w:szCs w:val="21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34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一、火灾事故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34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发生次数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起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672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34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死亡人数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34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受伤人数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34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损失折款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627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34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二、消防情况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34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消防队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队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34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消防车辆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辆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34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消防人员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514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34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出动起数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起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5922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6481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34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出动人次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人次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72145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81840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34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出车辆次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辆次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8842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34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抢救人员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3467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抢救财产价值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13301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9816</w:t>
            </w:r>
          </w:p>
        </w:tc>
      </w:tr>
    </w:tbl>
    <w:p>
      <w:pPr>
        <w:pStyle w:val="2"/>
        <w:spacing w:before="0" w:after="0"/>
        <w:rPr>
          <w:rFonts w:ascii="黑体"/>
        </w:rPr>
      </w:pPr>
      <w:bookmarkStart w:id="11" w:name="_Toc424198047"/>
      <w:bookmarkStart w:id="12" w:name="_Toc425144043"/>
      <w:bookmarkStart w:id="13" w:name="_Toc456185535"/>
      <w:r>
        <w:rPr>
          <w:rFonts w:hint="eastAsia" w:ascii="黑体"/>
        </w:rPr>
        <w:t>人防工程建设、使用情况</w:t>
      </w:r>
      <w:bookmarkEnd w:id="11"/>
      <w:bookmarkEnd w:id="12"/>
      <w:bookmarkEnd w:id="13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4"/>
        <w:gridCol w:w="2239"/>
        <w:gridCol w:w="288"/>
        <w:gridCol w:w="195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764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2239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工程数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（只）</w:t>
            </w:r>
          </w:p>
        </w:tc>
        <w:tc>
          <w:tcPr>
            <w:tcW w:w="2239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使用面积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 xml:space="preserve">m </w:t>
            </w:r>
            <w:r>
              <w:rPr>
                <w:kern w:val="0"/>
                <w:szCs w:val="21"/>
                <w:vertAlign w:val="superscript"/>
              </w:rPr>
              <w:t>2</w:t>
            </w:r>
            <w:r>
              <w:rPr>
                <w:rFonts w:hint="eastAsia" w:cs="宋体"/>
                <w:kern w:val="0"/>
                <w:szCs w:val="21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476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人防工程建设</w:t>
            </w:r>
          </w:p>
        </w:tc>
        <w:tc>
          <w:tcPr>
            <w:tcW w:w="2239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239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476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人员掩蔽</w:t>
            </w: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578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1278523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476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指挥通讯</w:t>
            </w: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476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医疗救护</w:t>
            </w: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9724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476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仓库（物资库）</w:t>
            </w: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67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134842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476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平战两用人防工程</w:t>
            </w: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278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468462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476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旅社、招待所</w:t>
            </w: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476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文体活动场所</w:t>
            </w: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476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办公、会议室</w:t>
            </w: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476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仓库（物资库）</w:t>
            </w: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30504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476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生产车间</w:t>
            </w: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476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其他</w:t>
            </w: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215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430834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476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防护等级</w:t>
            </w: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476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五级以上（包括六级）</w:t>
            </w: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581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1479233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4764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简易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85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16341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76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 w:cs="宋体"/>
                <w:kern w:val="0"/>
                <w:szCs w:val="21"/>
              </w:rPr>
            </w:pPr>
            <w:r>
              <w:rPr>
                <w:rFonts w:hint="eastAsia" w:eastAsia="楷体_GB2312" w:cs="宋体"/>
                <w:kern w:val="0"/>
                <w:szCs w:val="21"/>
              </w:rPr>
              <w:t>注：本表由区人防办提供。</w:t>
            </w:r>
          </w:p>
        </w:tc>
        <w:tc>
          <w:tcPr>
            <w:tcW w:w="2527" w:type="dxa"/>
            <w:gridSpan w:val="2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951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>
      <w:pPr>
        <w:pStyle w:val="2"/>
        <w:spacing w:before="0" w:after="0"/>
        <w:rPr>
          <w:rFonts w:ascii="黑体"/>
        </w:rPr>
      </w:pPr>
      <w:bookmarkStart w:id="14" w:name="_Toc424198048"/>
      <w:bookmarkStart w:id="15" w:name="_Toc425144044"/>
      <w:bookmarkStart w:id="16" w:name="_Toc456185536"/>
      <w:r>
        <w:rPr>
          <w:rFonts w:hint="eastAsia" w:ascii="黑体"/>
        </w:rPr>
        <w:t>律师、法律服务及调解工作</w:t>
      </w:r>
      <w:bookmarkEnd w:id="14"/>
      <w:bookmarkEnd w:id="15"/>
      <w:bookmarkEnd w:id="16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7"/>
        <w:gridCol w:w="1526"/>
        <w:gridCol w:w="1754"/>
        <w:gridCol w:w="17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207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标</w:t>
            </w:r>
          </w:p>
        </w:tc>
        <w:tc>
          <w:tcPr>
            <w:tcW w:w="1526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1754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年</w:t>
            </w:r>
          </w:p>
        </w:tc>
        <w:tc>
          <w:tcPr>
            <w:tcW w:w="1755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kern w:val="0"/>
                <w:szCs w:val="21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2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律师工作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2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律师事务所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2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律师人数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2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专职律师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2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兼职律师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2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办理各类法律事务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2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担任法律顾问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家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165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2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刑事诉讼辩护及代理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608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2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民事案件诉讼代理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4064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2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行政案件诉讼代理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2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非诉讼法律事务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218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2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解答法律询问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人次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4595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2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代写法律事务文书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1016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2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法律服务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2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基层法律服务所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2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基层法律工作人员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2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调解工作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2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街镇建司法所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2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司法所工作人员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2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人民调解委员会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2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调解人员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2922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2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调解民间纠纷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13606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14895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2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调解成功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13459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14675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2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法律援助工作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2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受理援助案件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1447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2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接听</w:t>
            </w:r>
            <w:r>
              <w:rPr>
                <w:szCs w:val="21"/>
              </w:rPr>
              <w:t>12348</w:t>
            </w:r>
            <w:r>
              <w:rPr>
                <w:rFonts w:hint="eastAsia"/>
                <w:szCs w:val="21"/>
              </w:rPr>
              <w:t>咨询电话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7175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6273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207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接待来访当事人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批</w:t>
            </w:r>
          </w:p>
        </w:tc>
        <w:tc>
          <w:tcPr>
            <w:tcW w:w="1754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4298</w:t>
            </w:r>
          </w:p>
        </w:tc>
        <w:tc>
          <w:tcPr>
            <w:tcW w:w="175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733" w:type="dxa"/>
            <w:gridSpan w:val="2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before="60"/>
              <w:jc w:val="left"/>
              <w:rPr>
                <w:rFonts w:eastAsia="楷体_GB2312" w:cs="宋体"/>
                <w:kern w:val="0"/>
                <w:szCs w:val="21"/>
              </w:rPr>
            </w:pPr>
            <w:r>
              <w:rPr>
                <w:rFonts w:hint="eastAsia" w:eastAsia="楷体_GB2312" w:cs="宋体"/>
                <w:kern w:val="0"/>
                <w:szCs w:val="21"/>
              </w:rPr>
              <w:t>注：</w:t>
            </w:r>
            <w:r>
              <w:rPr>
                <w:rFonts w:eastAsia="楷体_GB2312"/>
                <w:kern w:val="0"/>
                <w:szCs w:val="21"/>
              </w:rPr>
              <w:t>P2</w:t>
            </w:r>
            <w:r>
              <w:rPr>
                <w:rFonts w:hint="eastAsia" w:eastAsia="楷体_GB2312"/>
                <w:kern w:val="0"/>
                <w:szCs w:val="21"/>
              </w:rPr>
              <w:t>72</w:t>
            </w:r>
            <w:r>
              <w:rPr>
                <w:rFonts w:eastAsia="楷体_GB2312"/>
                <w:kern w:val="0"/>
                <w:szCs w:val="21"/>
              </w:rPr>
              <w:t>—P2</w:t>
            </w:r>
            <w:r>
              <w:rPr>
                <w:rFonts w:hint="eastAsia" w:eastAsia="楷体_GB2312"/>
                <w:kern w:val="0"/>
                <w:szCs w:val="21"/>
              </w:rPr>
              <w:t>73</w:t>
            </w:r>
            <w:r>
              <w:rPr>
                <w:rFonts w:hint="eastAsia" w:eastAsia="楷体_GB2312" w:cs="宋体"/>
                <w:kern w:val="0"/>
                <w:szCs w:val="21"/>
              </w:rPr>
              <w:t>由区司法局提供。</w:t>
            </w:r>
          </w:p>
        </w:tc>
        <w:tc>
          <w:tcPr>
            <w:tcW w:w="175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75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</w:tr>
    </w:tbl>
    <w:p>
      <w:pPr>
        <w:pStyle w:val="2"/>
        <w:spacing w:before="0" w:after="0"/>
        <w:rPr>
          <w:rFonts w:ascii="黑体"/>
        </w:rPr>
      </w:pPr>
      <w:bookmarkStart w:id="17" w:name="_Toc424198049"/>
      <w:bookmarkStart w:id="18" w:name="_Toc425144045"/>
      <w:bookmarkStart w:id="19" w:name="_Toc456185537"/>
      <w:r>
        <w:rPr>
          <w:rFonts w:hint="eastAsia" w:ascii="黑体"/>
        </w:rPr>
        <w:t>公  证  工  作</w:t>
      </w:r>
      <w:bookmarkEnd w:id="17"/>
      <w:bookmarkEnd w:id="18"/>
      <w:bookmarkEnd w:id="19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8"/>
        <w:gridCol w:w="1512"/>
        <w:gridCol w:w="35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218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1512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351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2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公证处</w:t>
            </w: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351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2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公证人员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2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#</w:t>
            </w:r>
            <w:r>
              <w:rPr>
                <w:rFonts w:hint="eastAsia"/>
                <w:szCs w:val="21"/>
              </w:rPr>
              <w:t>公证员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2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国内公证文书出证数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11180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2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#</w:t>
            </w:r>
            <w:r>
              <w:rPr>
                <w:rFonts w:hint="eastAsia"/>
                <w:szCs w:val="21"/>
              </w:rPr>
              <w:t>合同（协议）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2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单方法律行为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2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继承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2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有无违法犯罪记录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2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赋予执行效力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2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执行证书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2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涉外公证文书出证数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2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#</w:t>
            </w:r>
            <w:r>
              <w:rPr>
                <w:rFonts w:hint="eastAsia"/>
                <w:szCs w:val="21"/>
              </w:rPr>
              <w:t>委托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2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申明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2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亲属关系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2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出生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2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有无违法犯罪记录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2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文本相符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2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涉港澳台公证文书出证数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2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#</w:t>
            </w:r>
            <w:r>
              <w:rPr>
                <w:rFonts w:hint="eastAsia"/>
                <w:szCs w:val="21"/>
              </w:rPr>
              <w:t>亲属关系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218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文本相符</w:t>
            </w:r>
          </w:p>
        </w:tc>
        <w:tc>
          <w:tcPr>
            <w:tcW w:w="1512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3512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</w:t>
            </w:r>
          </w:p>
        </w:tc>
      </w:tr>
    </w:tbl>
    <w:p>
      <w:pPr>
        <w:rPr>
          <w:szCs w:val="21"/>
        </w:rPr>
      </w:pPr>
    </w:p>
    <w:p>
      <w:pPr>
        <w:pStyle w:val="2"/>
        <w:spacing w:before="0" w:after="0"/>
        <w:rPr>
          <w:rFonts w:ascii="黑体"/>
        </w:rPr>
      </w:pPr>
      <w:bookmarkStart w:id="20" w:name="_Toc424198050"/>
      <w:bookmarkStart w:id="21" w:name="_Toc425144046"/>
      <w:bookmarkStart w:id="22" w:name="_Toc456185538"/>
      <w:r>
        <w:rPr>
          <w:rFonts w:hint="eastAsia" w:ascii="黑体"/>
        </w:rPr>
        <w:t>检察院直接立案侦查案件情况</w:t>
      </w:r>
      <w:bookmarkEnd w:id="20"/>
      <w:bookmarkEnd w:id="21"/>
      <w:bookmarkEnd w:id="22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2"/>
        <w:gridCol w:w="42"/>
        <w:gridCol w:w="989"/>
        <w:gridCol w:w="265"/>
        <w:gridCol w:w="725"/>
        <w:gridCol w:w="468"/>
        <w:gridCol w:w="522"/>
        <w:gridCol w:w="647"/>
        <w:gridCol w:w="342"/>
        <w:gridCol w:w="798"/>
        <w:gridCol w:w="192"/>
        <w:gridCol w:w="9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304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262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1296" w:type="dxa"/>
            <w:gridSpan w:val="3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受案件数（件）</w:t>
            </w:r>
          </w:p>
        </w:tc>
        <w:tc>
          <w:tcPr>
            <w:tcW w:w="1193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立案件数（件）</w:t>
            </w:r>
          </w:p>
        </w:tc>
        <w:tc>
          <w:tcPr>
            <w:tcW w:w="1169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立案人数（人）</w:t>
            </w:r>
          </w:p>
        </w:tc>
        <w:tc>
          <w:tcPr>
            <w:tcW w:w="1140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侦查终结件数（件）</w:t>
            </w:r>
          </w:p>
        </w:tc>
        <w:tc>
          <w:tcPr>
            <w:tcW w:w="1182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侦查终结人数（人）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32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59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22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29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17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32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贪污贿赂案件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32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贪污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32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贿赂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32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挪用公款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32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集体私分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32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巨额财产来源不明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32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其他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32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渎职侵权案件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32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滥用职权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32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玩忽职守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32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徇私舞弊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32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侵犯公民权力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3262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其他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</w:tbl>
    <w:p/>
    <w:p>
      <w:pPr>
        <w:pStyle w:val="2"/>
        <w:spacing w:before="0" w:after="0"/>
        <w:rPr>
          <w:rFonts w:ascii="黑体"/>
        </w:rPr>
      </w:pPr>
      <w:bookmarkStart w:id="23" w:name="RANGE!A19"/>
      <w:bookmarkStart w:id="24" w:name="_Toc424198051"/>
      <w:bookmarkStart w:id="25" w:name="_Toc425144047"/>
      <w:bookmarkStart w:id="26" w:name="_Toc456185539"/>
      <w:r>
        <w:rPr>
          <w:rFonts w:hint="eastAsia" w:ascii="黑体"/>
        </w:rPr>
        <w:t>检察院民事、行政案件办理情况</w:t>
      </w:r>
      <w:bookmarkEnd w:id="23"/>
      <w:bookmarkEnd w:id="24"/>
      <w:bookmarkEnd w:id="25"/>
      <w:bookmarkEnd w:id="26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04"/>
        <w:gridCol w:w="1286"/>
        <w:gridCol w:w="1155"/>
        <w:gridCol w:w="236"/>
        <w:gridCol w:w="1089"/>
        <w:gridCol w:w="1062"/>
        <w:gridCol w:w="24"/>
        <w:gridCol w:w="10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30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  <w:jc w:val="center"/>
        </w:trPr>
        <w:tc>
          <w:tcPr>
            <w:tcW w:w="3304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128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受案</w:t>
            </w:r>
            <w:r>
              <w:rPr>
                <w:kern w:val="0"/>
                <w:szCs w:val="21"/>
              </w:rPr>
              <w:t xml:space="preserve">           </w:t>
            </w:r>
          </w:p>
        </w:tc>
        <w:tc>
          <w:tcPr>
            <w:tcW w:w="2480" w:type="dxa"/>
            <w:gridSpan w:val="3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审查处理</w:t>
            </w:r>
          </w:p>
        </w:tc>
        <w:tc>
          <w:tcPr>
            <w:tcW w:w="2172" w:type="dxa"/>
            <w:gridSpan w:val="3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结案处理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3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19</w:t>
            </w:r>
          </w:p>
        </w:tc>
        <w:tc>
          <w:tcPr>
            <w:tcW w:w="2480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19</w:t>
            </w:r>
          </w:p>
        </w:tc>
        <w:tc>
          <w:tcPr>
            <w:tcW w:w="2172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3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民事案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</w:t>
            </w: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</w:t>
            </w:r>
          </w:p>
        </w:tc>
        <w:tc>
          <w:tcPr>
            <w:tcW w:w="21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3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婚姻家庭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1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3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继承纠纷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1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3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物权保护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1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3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所有权保护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1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3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合同纠纷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1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3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劳动人事争议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1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3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其他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1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3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行政案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480" w:type="dxa"/>
            <w:gridSpan w:val="3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172" w:type="dxa"/>
            <w:gridSpan w:val="3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745" w:type="dxa"/>
            <w:gridSpan w:val="3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 w:cs="宋体"/>
                <w:kern w:val="0"/>
                <w:szCs w:val="21"/>
              </w:rPr>
            </w:pPr>
            <w:r>
              <w:rPr>
                <w:rFonts w:hint="eastAsia" w:eastAsia="楷体_GB2312" w:cs="宋体"/>
                <w:kern w:val="0"/>
                <w:szCs w:val="21"/>
              </w:rPr>
              <w:t>注：</w:t>
            </w:r>
            <w:r>
              <w:rPr>
                <w:rFonts w:eastAsia="楷体_GB2312"/>
                <w:kern w:val="0"/>
                <w:szCs w:val="21"/>
              </w:rPr>
              <w:t>P2</w:t>
            </w:r>
            <w:r>
              <w:rPr>
                <w:rFonts w:hint="eastAsia" w:eastAsia="楷体_GB2312"/>
                <w:kern w:val="0"/>
                <w:szCs w:val="21"/>
              </w:rPr>
              <w:t>74</w:t>
            </w:r>
            <w:r>
              <w:rPr>
                <w:rFonts w:eastAsia="楷体_GB2312"/>
                <w:kern w:val="0"/>
                <w:szCs w:val="21"/>
              </w:rPr>
              <w:t>—P2</w:t>
            </w:r>
            <w:r>
              <w:rPr>
                <w:rFonts w:hint="eastAsia" w:eastAsia="楷体_GB2312"/>
                <w:kern w:val="0"/>
                <w:szCs w:val="21"/>
              </w:rPr>
              <w:t>75</w:t>
            </w:r>
            <w:r>
              <w:rPr>
                <w:rFonts w:hint="eastAsia" w:eastAsia="楷体_GB2312" w:cs="宋体"/>
                <w:kern w:val="0"/>
                <w:szCs w:val="21"/>
              </w:rPr>
              <w:t>由区检察院提供。</w:t>
            </w:r>
          </w:p>
        </w:tc>
        <w:tc>
          <w:tcPr>
            <w:tcW w:w="23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 w:cs="宋体"/>
                <w:kern w:val="0"/>
                <w:szCs w:val="21"/>
              </w:rPr>
            </w:pPr>
          </w:p>
        </w:tc>
        <w:tc>
          <w:tcPr>
            <w:tcW w:w="1089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086" w:type="dxa"/>
            <w:gridSpan w:val="2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>
      <w:pPr>
        <w:pStyle w:val="2"/>
        <w:spacing w:before="0" w:after="0"/>
        <w:rPr>
          <w:rFonts w:ascii="黑体"/>
        </w:rPr>
      </w:pPr>
      <w:bookmarkStart w:id="27" w:name="_Toc424198052"/>
      <w:bookmarkStart w:id="28" w:name="_Toc425144048"/>
      <w:bookmarkStart w:id="29" w:name="_Toc456185540"/>
      <w:r>
        <w:rPr>
          <w:rFonts w:hint="eastAsia" w:ascii="黑体"/>
        </w:rPr>
        <w:t>检察院申诉案件处理情况</w:t>
      </w:r>
      <w:bookmarkEnd w:id="27"/>
      <w:bookmarkEnd w:id="28"/>
      <w:bookmarkEnd w:id="29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5"/>
        <w:gridCol w:w="1235"/>
        <w:gridCol w:w="1300"/>
        <w:gridCol w:w="1301"/>
        <w:gridCol w:w="1300"/>
        <w:gridCol w:w="13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42" w:type="dxa"/>
            <w:gridSpan w:val="6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05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1235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受案</w:t>
            </w:r>
            <w:r>
              <w:rPr>
                <w:kern w:val="0"/>
                <w:szCs w:val="21"/>
              </w:rPr>
              <w:t xml:space="preserve">           </w:t>
            </w:r>
          </w:p>
        </w:tc>
        <w:tc>
          <w:tcPr>
            <w:tcW w:w="5202" w:type="dxa"/>
            <w:gridSpan w:val="4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审查处理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805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2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合计</w:t>
            </w:r>
          </w:p>
        </w:tc>
        <w:tc>
          <w:tcPr>
            <w:tcW w:w="1301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分送本院</w:t>
            </w:r>
          </w:p>
          <w:p>
            <w:pPr>
              <w:widowControl/>
              <w:ind w:left="-57" w:right="-57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其他部门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移动其他</w:t>
            </w:r>
          </w:p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机关</w:t>
            </w:r>
          </w:p>
        </w:tc>
        <w:tc>
          <w:tcPr>
            <w:tcW w:w="130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直接答复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  <w:jc w:val="center"/>
        </w:trPr>
        <w:tc>
          <w:tcPr>
            <w:tcW w:w="28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32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  <w:jc w:val="center"/>
        </w:trPr>
        <w:tc>
          <w:tcPr>
            <w:tcW w:w="28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首次申诉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  <w:jc w:val="center"/>
        </w:trPr>
        <w:tc>
          <w:tcPr>
            <w:tcW w:w="28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不服不批捕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  <w:jc w:val="center"/>
        </w:trPr>
        <w:tc>
          <w:tcPr>
            <w:tcW w:w="28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不服不立案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  <w:jc w:val="center"/>
        </w:trPr>
        <w:tc>
          <w:tcPr>
            <w:tcW w:w="28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不服刑事判决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  <w:jc w:val="center"/>
        </w:trPr>
        <w:tc>
          <w:tcPr>
            <w:tcW w:w="28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不服民事行政裁决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  <w:jc w:val="center"/>
        </w:trPr>
        <w:tc>
          <w:tcPr>
            <w:tcW w:w="28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其他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  <w:jc w:val="center"/>
        </w:trPr>
        <w:tc>
          <w:tcPr>
            <w:tcW w:w="2805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重复申诉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30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30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</w:tbl>
    <w:p>
      <w:pPr>
        <w:rPr>
          <w:szCs w:val="21"/>
        </w:rPr>
      </w:pPr>
    </w:p>
    <w:p>
      <w:pPr>
        <w:pStyle w:val="2"/>
        <w:spacing w:before="0" w:after="0"/>
        <w:rPr>
          <w:rFonts w:ascii="黑体"/>
        </w:rPr>
      </w:pPr>
      <w:bookmarkStart w:id="30" w:name="_Toc424198053"/>
      <w:bookmarkStart w:id="31" w:name="_Toc425144049"/>
      <w:bookmarkStart w:id="32" w:name="_Toc456185541"/>
      <w:r>
        <w:rPr>
          <w:rFonts w:hint="eastAsia" w:ascii="黑体"/>
        </w:rPr>
        <w:t>法院各类案件办理情况</w:t>
      </w:r>
      <w:bookmarkEnd w:id="30"/>
      <w:bookmarkEnd w:id="31"/>
      <w:bookmarkEnd w:id="32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7"/>
        <w:gridCol w:w="1155"/>
        <w:gridCol w:w="1050"/>
        <w:gridCol w:w="1050"/>
        <w:gridCol w:w="1110"/>
        <w:gridCol w:w="10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3857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1155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收案</w:t>
            </w:r>
          </w:p>
        </w:tc>
        <w:tc>
          <w:tcPr>
            <w:tcW w:w="4230" w:type="dxa"/>
            <w:gridSpan w:val="4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结案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385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155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合计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判决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裁定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调解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一审刑事案件</w:t>
            </w:r>
          </w:p>
        </w:tc>
        <w:tc>
          <w:tcPr>
            <w:tcW w:w="1155" w:type="dxa"/>
            <w:tcBorders>
              <w:top w:val="single" w:color="000000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2494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2499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2489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侵犯公民人身权利、民主权利罪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侵犯财产罪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妨碍社会管理秩序罪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853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856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852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一审民事案件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15997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15839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6274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6307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婚姻家庭、继承案件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2231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2238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917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婚姻家庭案件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1801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1802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802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继承案件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合同纠纷案件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10410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10238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3413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买卖合同纠纷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1588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1525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598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房地产开发经营合同纠纷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借款合同纠纷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1837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1831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949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租赁合同纠纷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660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652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劳动争议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劳务合同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权属、侵犯纠纷及其他民事案件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3356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3363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1944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#所有权及与所有权相关权力纠纷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票据、证券权益纠纷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股东权纠纷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人身权纠纷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2394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2405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1483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其他民事案件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3857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一审行政案件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152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152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76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76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85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 w:cs="宋体"/>
                <w:kern w:val="0"/>
                <w:szCs w:val="21"/>
              </w:rPr>
            </w:pPr>
            <w:r>
              <w:rPr>
                <w:rFonts w:hint="eastAsia" w:eastAsia="楷体_GB2312" w:cs="宋体"/>
                <w:kern w:val="0"/>
                <w:szCs w:val="21"/>
              </w:rPr>
              <w:t>注：</w:t>
            </w:r>
            <w:r>
              <w:rPr>
                <w:rFonts w:eastAsia="楷体_GB2312"/>
                <w:kern w:val="0"/>
                <w:szCs w:val="21"/>
              </w:rPr>
              <w:t>P2</w:t>
            </w:r>
            <w:r>
              <w:rPr>
                <w:rFonts w:hint="eastAsia" w:eastAsia="楷体_GB2312"/>
                <w:kern w:val="0"/>
                <w:szCs w:val="21"/>
              </w:rPr>
              <w:t>76</w:t>
            </w:r>
            <w:r>
              <w:rPr>
                <w:rFonts w:eastAsia="楷体_GB2312"/>
                <w:kern w:val="0"/>
                <w:szCs w:val="21"/>
              </w:rPr>
              <w:t>—P2</w:t>
            </w:r>
            <w:r>
              <w:rPr>
                <w:rFonts w:hint="eastAsia" w:eastAsia="楷体_GB2312"/>
                <w:kern w:val="0"/>
                <w:szCs w:val="21"/>
              </w:rPr>
              <w:t>77</w:t>
            </w:r>
            <w:r>
              <w:rPr>
                <w:rFonts w:hint="eastAsia" w:eastAsia="楷体_GB2312" w:cs="宋体"/>
                <w:kern w:val="0"/>
                <w:szCs w:val="21"/>
              </w:rPr>
              <w:t>由区法院提供。</w:t>
            </w:r>
          </w:p>
        </w:tc>
        <w:tc>
          <w:tcPr>
            <w:tcW w:w="115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02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>
      <w:pPr>
        <w:pStyle w:val="2"/>
        <w:spacing w:before="0" w:after="0"/>
        <w:rPr>
          <w:rFonts w:ascii="黑体"/>
        </w:rPr>
      </w:pPr>
      <w:bookmarkStart w:id="33" w:name="_Toc424198054"/>
      <w:bookmarkStart w:id="34" w:name="_Toc425144050"/>
      <w:bookmarkStart w:id="35" w:name="_Toc456185542"/>
      <w:r>
        <w:rPr>
          <w:rFonts w:hint="eastAsia" w:ascii="黑体"/>
        </w:rPr>
        <w:t>法院执行案件情况</w:t>
      </w:r>
      <w:bookmarkEnd w:id="33"/>
      <w:bookmarkEnd w:id="34"/>
      <w:bookmarkEnd w:id="35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89"/>
        <w:gridCol w:w="1050"/>
        <w:gridCol w:w="1250"/>
        <w:gridCol w:w="115"/>
        <w:gridCol w:w="1136"/>
        <w:gridCol w:w="97"/>
        <w:gridCol w:w="1045"/>
        <w:gridCol w:w="109"/>
        <w:gridCol w:w="125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8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189" w:type="dxa"/>
            <w:vMerge w:val="restart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1050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收案</w:t>
            </w:r>
          </w:p>
        </w:tc>
        <w:tc>
          <w:tcPr>
            <w:tcW w:w="5003" w:type="dxa"/>
            <w:gridSpan w:val="7"/>
            <w:tcBorders>
              <w:top w:val="single" w:color="auto" w:sz="12" w:space="0"/>
              <w:left w:val="nil"/>
              <w:bottom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结  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318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0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合计</w:t>
            </w:r>
          </w:p>
        </w:tc>
        <w:tc>
          <w:tcPr>
            <w:tcW w:w="12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自动履行</w:t>
            </w:r>
          </w:p>
        </w:tc>
        <w:tc>
          <w:tcPr>
            <w:tcW w:w="12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和解</w:t>
            </w:r>
          </w:p>
        </w:tc>
        <w:tc>
          <w:tcPr>
            <w:tcW w:w="125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强制执行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318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  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7151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7118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3037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148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960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318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刑事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81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318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民事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5680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5649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2445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318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行政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318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行政非诉讼审查与执行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228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67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318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仲裁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921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944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atLeast"/>
          <w:jc w:val="center"/>
        </w:trPr>
        <w:tc>
          <w:tcPr>
            <w:tcW w:w="3189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公证债权文书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231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215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</w:tr>
    </w:tbl>
    <w:p>
      <w:pPr>
        <w:rPr>
          <w:szCs w:val="21"/>
        </w:rPr>
      </w:pPr>
      <w:bookmarkStart w:id="36" w:name="_GoBack"/>
      <w:bookmarkEnd w:id="36"/>
    </w:p>
    <w:sectPr>
      <w:headerReference r:id="rId10" w:type="default"/>
      <w:headerReference r:id="rId11" w:type="even"/>
      <w:pgSz w:w="10433" w:h="14742"/>
      <w:pgMar w:top="1474" w:right="1021" w:bottom="1134" w:left="1021" w:header="680" w:footer="794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altName w:val="Arial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9"/>
      <w:framePr w:wrap="around" w:hAnchor="margin" w:vAnchor="text" w:xAlign="outside" w:y="1"/>
      <w:rPr>
        <w:rStyle w:val="17"/>
      </w:rPr>
    </w:pPr>
    <w:r>
      <w:rPr>
        <w:rStyle w:val="17"/>
        <w:rFonts w:hint="eastAsia"/>
      </w:rPr>
      <w:t>—</w:t>
    </w: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separate"/>
    </w:r>
    <w:r>
      <w:rPr>
        <w:rStyle w:val="17"/>
      </w:rPr>
      <w:t>3</w:t>
    </w:r>
    <w:r>
      <w:rPr>
        <w:rStyle w:val="17"/>
      </w:rPr>
      <w:fldChar w:fldCharType="end"/>
    </w:r>
    <w:r>
      <w:rPr>
        <w:rStyle w:val="17"/>
        <w:rFonts w:hint="eastAsia"/>
      </w:rPr>
      <w:t>—</w:t>
    </w:r>
  </w:p>
  <w:p>
    <w:pPr>
      <w:pStyle w:val="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9"/>
      <w:framePr w:wrap="around" w:hAnchor="margin" w:vAnchor="text" w:xAlign="outside" w:y="1"/>
      <w:rPr>
        <w:rStyle w:val="17"/>
      </w:rPr>
    </w:pPr>
    <w:r>
      <w:rPr>
        <w:rStyle w:val="17"/>
        <w:rFonts w:hint="eastAsia"/>
      </w:rPr>
      <w:t>—</w:t>
    </w: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separate"/>
    </w:r>
    <w:r>
      <w:rPr>
        <w:rStyle w:val="17"/>
      </w:rPr>
      <w:t>2</w:t>
    </w:r>
    <w:r>
      <w:rPr>
        <w:rStyle w:val="17"/>
      </w:rPr>
      <w:fldChar w:fldCharType="end"/>
    </w:r>
    <w:r>
      <w:rPr>
        <w:rStyle w:val="17"/>
        <w:rFonts w:hint="eastAsia"/>
      </w:rPr>
      <w:t>—</w:t>
    </w:r>
  </w:p>
  <w:p>
    <w:pPr>
      <w:pStyle w:val="9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9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right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76" o:spid="_x0000_s1025" style="position:absolute;left:0;margin-left:334.45pt;margin-top:16.95pt;height:0.05pt;width:113.4pt;rotation:0f;z-index:251678720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文广、体育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both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75" o:spid="_x0000_s1026" style="position:absolute;left:0;margin-left:-21.1pt;margin-top:16.55pt;height:0.05pt;width:113.1pt;rotation:0f;z-index:251677696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文广、体育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pBdr>
        <w:bottom w:val="none" w:color="auto" w:sz="0" w:space="0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right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77" o:spid="_x0000_s1027" style="position:absolute;left:0;margin-left:320.45pt;margin-top:16.85pt;height:0.05pt;width:127.55pt;rotation:0f;z-index:251679744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治安、司法和其他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both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78" o:spid="_x0000_s1028" style="position:absolute;left:0;margin-left:-21.1pt;margin-top:16.95pt;height:0.05pt;width:113.1pt;rotation:0f;z-index:251680768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治安、司法和其他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5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nhideWhenUsed="0" w:uiPriority="39" w:semiHidden="0" w:name="toc 4"/>
    <w:lsdException w:unhideWhenUsed="0" w:uiPriority="39" w:semiHidden="0" w:name="toc 5"/>
    <w:lsdException w:unhideWhenUsed="0" w:uiPriority="39" w:semiHidden="0" w:name="toc 6"/>
    <w:lsdException w:unhideWhenUsed="0" w:uiPriority="39" w:semiHidden="0" w:name="toc 7"/>
    <w:lsdException w:unhideWhenUsed="0" w:uiPriority="39" w:semiHidden="0" w:name="toc 8"/>
    <w:lsdException w:unhideWhenUsed="0" w:uiPriority="39" w:semiHidden="0" w:name="toc 9"/>
    <w:lsdException w:unhideWhenUsed="0" w:uiPriority="0" w:semiHidden="0" w:name="Normal Indent"/>
    <w:lsdException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500" w:after="400" w:line="360" w:lineRule="auto"/>
      <w:jc w:val="center"/>
      <w:outlineLvl w:val="0"/>
    </w:pPr>
    <w:rPr>
      <w:rFonts w:eastAsia="黑体"/>
      <w:bCs/>
      <w:snapToGrid w:val="0"/>
      <w:kern w:val="0"/>
      <w:sz w:val="36"/>
      <w:szCs w:val="36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00" w:after="100" w:line="360" w:lineRule="auto"/>
      <w:ind w:firstLine="482"/>
      <w:outlineLvl w:val="1"/>
    </w:pPr>
    <w:rPr>
      <w:rFonts w:eastAsia="黑体"/>
      <w:bCs/>
      <w:snapToGrid w:val="0"/>
      <w:kern w:val="0"/>
      <w:sz w:val="28"/>
      <w:szCs w:val="28"/>
    </w:rPr>
  </w:style>
  <w:style w:type="paragraph" w:styleId="4">
    <w:name w:val="heading 3"/>
    <w:basedOn w:val="1"/>
    <w:qFormat/>
    <w:uiPriority w:val="0"/>
    <w:pPr>
      <w:widowControl/>
      <w:spacing w:before="120" w:after="60" w:line="360" w:lineRule="auto"/>
      <w:ind w:firstLine="482"/>
      <w:outlineLvl w:val="2"/>
    </w:pPr>
    <w:rPr>
      <w:rFonts w:eastAsia="黑体" w:cs="宋体"/>
      <w:bCs/>
      <w:snapToGrid w:val="0"/>
      <w:kern w:val="0"/>
      <w:sz w:val="24"/>
    </w:rPr>
  </w:style>
  <w:style w:type="character" w:default="1" w:styleId="15">
    <w:name w:val="Default Paragraph Font"/>
    <w:semiHidden/>
    <w:unhideWhenUsed/>
    <w:uiPriority w:val="1"/>
  </w:style>
  <w:style w:type="paragraph" w:styleId="5">
    <w:name w:val="Document Map"/>
    <w:basedOn w:val="1"/>
    <w:semiHidden/>
    <w:uiPriority w:val="0"/>
    <w:pPr>
      <w:shd w:val="clear" w:color="auto" w:fill="000080"/>
    </w:pPr>
  </w:style>
  <w:style w:type="paragraph" w:styleId="6">
    <w:name w:val="Date"/>
    <w:basedOn w:val="1"/>
    <w:next w:val="1"/>
    <w:uiPriority w:val="0"/>
    <w:pPr>
      <w:ind w:left="100" w:leftChars="2500"/>
    </w:pPr>
  </w:style>
  <w:style w:type="paragraph" w:styleId="7">
    <w:name w:val="endnote text"/>
    <w:basedOn w:val="1"/>
    <w:link w:val="27"/>
    <w:uiPriority w:val="0"/>
    <w:pPr>
      <w:snapToGrid w:val="0"/>
      <w:jc w:val="left"/>
    </w:pPr>
  </w:style>
  <w:style w:type="paragraph" w:styleId="8">
    <w:name w:val="Balloon Text"/>
    <w:basedOn w:val="1"/>
    <w:link w:val="28"/>
    <w:uiPriority w:val="0"/>
    <w:rPr>
      <w:sz w:val="18"/>
      <w:szCs w:val="18"/>
    </w:rPr>
  </w:style>
  <w:style w:type="paragraph" w:styleId="9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iPriority w:val="39"/>
    <w:pPr>
      <w:tabs>
        <w:tab w:val="right" w:leader="middleDot" w:pos="8381"/>
      </w:tabs>
      <w:spacing w:line="324" w:lineRule="auto"/>
    </w:pPr>
  </w:style>
  <w:style w:type="paragraph" w:styleId="12">
    <w:name w:val="footnote text"/>
    <w:basedOn w:val="1"/>
    <w:link w:val="29"/>
    <w:semiHidden/>
    <w:uiPriority w:val="0"/>
    <w:pPr>
      <w:snapToGrid w:val="0"/>
      <w:jc w:val="left"/>
    </w:pPr>
    <w:rPr>
      <w:sz w:val="18"/>
      <w:szCs w:val="18"/>
    </w:rPr>
  </w:style>
  <w:style w:type="paragraph" w:styleId="13">
    <w:name w:val="toc 2"/>
    <w:basedOn w:val="1"/>
    <w:next w:val="1"/>
    <w:uiPriority w:val="39"/>
    <w:pPr>
      <w:tabs>
        <w:tab w:val="right" w:leader="middleDot" w:pos="8381"/>
      </w:tabs>
      <w:spacing w:before="300" w:after="60" w:line="360" w:lineRule="auto"/>
      <w:jc w:val="center"/>
    </w:pPr>
    <w:rPr>
      <w:rFonts w:ascii="方正大标宋简体" w:eastAsia="方正大标宋简体"/>
      <w:sz w:val="28"/>
      <w:szCs w:val="28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16">
    <w:name w:val="endnote reference"/>
    <w:basedOn w:val="15"/>
    <w:uiPriority w:val="0"/>
    <w:rPr>
      <w:vertAlign w:val="superscript"/>
    </w:rPr>
  </w:style>
  <w:style w:type="character" w:styleId="17">
    <w:name w:val="page number"/>
    <w:basedOn w:val="15"/>
    <w:uiPriority w:val="0"/>
    <w:rPr/>
  </w:style>
  <w:style w:type="character" w:styleId="18">
    <w:name w:val="Hyperlink"/>
    <w:basedOn w:val="15"/>
    <w:uiPriority w:val="99"/>
    <w:rPr>
      <w:color w:val="0000FF"/>
      <w:u w:val="single"/>
    </w:rPr>
  </w:style>
  <w:style w:type="paragraph" w:customStyle="1" w:styleId="19">
    <w:name w:val="Char Char Char Char"/>
    <w:basedOn w:val="1"/>
    <w:uiPriority w:val="0"/>
    <w:rPr>
      <w:rFonts w:ascii="Tahoma" w:hAnsi="Tahoma"/>
      <w:sz w:val="24"/>
      <w:szCs w:val="20"/>
    </w:rPr>
  </w:style>
  <w:style w:type="paragraph" w:customStyle="1" w:styleId="20">
    <w:name w:val="样式1"/>
    <w:basedOn w:val="1"/>
    <w:uiPriority w:val="0"/>
    <w:pPr>
      <w:adjustRightInd w:val="0"/>
      <w:snapToGrid w:val="0"/>
      <w:spacing w:line="360" w:lineRule="auto"/>
      <w:jc w:val="center"/>
    </w:pPr>
    <w:rPr>
      <w:b/>
      <w:snapToGrid w:val="0"/>
      <w:color w:val="000000"/>
      <w:kern w:val="0"/>
      <w:szCs w:val="21"/>
    </w:rPr>
  </w:style>
  <w:style w:type="paragraph" w:customStyle="1" w:styleId="21">
    <w:name w:val="Char"/>
    <w:basedOn w:val="1"/>
    <w:uiPriority w:val="0"/>
    <w:rPr>
      <w:rFonts w:eastAsia="仿宋_GB2312"/>
      <w:sz w:val="32"/>
      <w:szCs w:val="20"/>
    </w:rPr>
  </w:style>
  <w:style w:type="paragraph" w:customStyle="1" w:styleId="22">
    <w:name w:val="默认段落字体 Para Char Char Char Char Char Char Char"/>
    <w:basedOn w:val="1"/>
    <w:uiPriority w:val="0"/>
    <w:rPr>
      <w:rFonts w:ascii="Tahoma" w:hAnsi="Tahoma"/>
      <w:sz w:val="24"/>
      <w:szCs w:val="20"/>
    </w:rPr>
  </w:style>
  <w:style w:type="paragraph" w:customStyle="1" w:styleId="23">
    <w:name w:val="Char1"/>
    <w:basedOn w:val="1"/>
    <w:uiPriority w:val="0"/>
    <w:pPr>
      <w:spacing w:line="360" w:lineRule="auto"/>
      <w:ind w:firstLine="210"/>
      <w:jc w:val="left"/>
    </w:pPr>
    <w:rPr>
      <w:rFonts w:eastAsia="仿宋_GB2312"/>
      <w:sz w:val="24"/>
    </w:rPr>
  </w:style>
  <w:style w:type="paragraph" w:customStyle="1" w:styleId="24">
    <w:name w:val="Char Char Char Char Char Char Char Char Char"/>
    <w:basedOn w:val="1"/>
    <w:uiPriority w:val="0"/>
    <w:pPr>
      <w:widowControl/>
      <w:jc w:val="left"/>
    </w:pPr>
    <w:rPr>
      <w:kern w:val="0"/>
      <w:sz w:val="20"/>
      <w:szCs w:val="20"/>
    </w:rPr>
  </w:style>
  <w:style w:type="paragraph" w:customStyle="1" w:styleId="25">
    <w:name w:val="Char Char Char Char1"/>
    <w:basedOn w:val="1"/>
    <w:uiPriority w:val="0"/>
    <w:rPr>
      <w:rFonts w:ascii="Tahoma" w:hAnsi="Tahoma"/>
      <w:sz w:val="24"/>
      <w:szCs w:val="20"/>
    </w:rPr>
  </w:style>
  <w:style w:type="paragraph" w:customStyle="1" w:styleId="26">
    <w:name w:val="Char Char1 Char"/>
    <w:basedOn w:val="1"/>
    <w:uiPriority w:val="0"/>
    <w:pPr>
      <w:widowControl/>
      <w:spacing w:after="160" w:line="240" w:lineRule="exact"/>
      <w:jc w:val="left"/>
    </w:pPr>
    <w:rPr>
      <w:rFonts w:ascii="Tahoma" w:hAnsi="Tahoma"/>
      <w:kern w:val="0"/>
      <w:sz w:val="24"/>
      <w:szCs w:val="21"/>
      <w:lang w:eastAsia="en-US"/>
    </w:rPr>
  </w:style>
  <w:style w:type="character" w:customStyle="1" w:styleId="27">
    <w:name w:val="尾注文本 Char"/>
    <w:basedOn w:val="15"/>
    <w:link w:val="7"/>
    <w:uiPriority w:val="0"/>
    <w:rPr>
      <w:kern w:val="2"/>
      <w:sz w:val="21"/>
      <w:szCs w:val="24"/>
    </w:rPr>
  </w:style>
  <w:style w:type="character" w:customStyle="1" w:styleId="28">
    <w:name w:val="批注框文本 Char"/>
    <w:basedOn w:val="15"/>
    <w:link w:val="8"/>
    <w:uiPriority w:val="0"/>
    <w:rPr>
      <w:kern w:val="2"/>
      <w:sz w:val="18"/>
      <w:szCs w:val="18"/>
    </w:rPr>
  </w:style>
  <w:style w:type="character" w:customStyle="1" w:styleId="29">
    <w:name w:val="脚注文本 Char"/>
    <w:basedOn w:val="15"/>
    <w:link w:val="12"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30">
    <w:name w:val="description"/>
    <w:basedOn w:val="15"/>
    <w:uiPriority w:val="0"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header" Target="header4.xml"/><Relationship Id="rId11" Type="http://schemas.openxmlformats.org/officeDocument/2006/relationships/header" Target="header5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297</Pages>
  <Words>23297</Words>
  <Characters>132795</Characters>
  <Lines>1106</Lines>
  <Paragraphs>311</Paragraphs>
  <TotalTime>0</TotalTime>
  <ScaleCrop>false</ScaleCrop>
  <LinksUpToDate>false</LinksUpToDate>
  <CharactersWithSpaces>0</CharactersWithSpaces>
  <Application>WPS Office 个人版_9.1.0.4555_{F1E327BC-269C-435d-A152-05C5408002CA}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2016-07-02T02:16:00Z</dcterms:created>
  <dc:creator>User</dc:creator>
  <cp:lastModifiedBy>tjj</cp:lastModifiedBy>
  <cp:lastPrinted>2016-07-13T07:04:00Z</cp:lastPrinted>
  <dcterms:modified xsi:type="dcterms:W3CDTF">2016-10-17T03:04:12Z</dcterms:modified>
  <dc:title>宝山统计资料汇编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2052-9.1.0.4555</vt:lpwstr>
  </property>
</Properties>
</file>