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cs="Times New Roman"/>
          <w:snapToGrid w:val="0"/>
          <w:kern w:val="0"/>
          <w:szCs w:val="32"/>
        </w:rPr>
      </w:pPr>
    </w:p>
    <w:p>
      <w:pPr>
        <w:adjustRightInd w:val="0"/>
        <w:snapToGrid w:val="0"/>
        <w:rPr>
          <w:rFonts w:hint="default" w:ascii="Times New Roman" w:hAnsi="Times New Roman" w:cs="Times New Roman"/>
          <w:b/>
          <w:snapToGrid w:val="0"/>
          <w:kern w:val="0"/>
        </w:rPr>
      </w:pPr>
      <w:r>
        <w:rPr>
          <w:rFonts w:hint="default" w:ascii="Times New Roman" w:hAnsi="Times New Roman" w:cs="Times New Roman"/>
          <w:snapToGrid w:val="0"/>
          <w:kern w:val="0"/>
          <w:szCs w:val="32"/>
        </w:rPr>
        <w:t xml:space="preserve">                                                   </w:t>
      </w:r>
    </w:p>
    <w:p>
      <w:pPr>
        <w:adjustRightInd w:val="0"/>
        <w:snapToGrid w:val="0"/>
        <w:jc w:val="center"/>
        <w:rPr>
          <w:rFonts w:hint="default" w:ascii="Times New Roman" w:hAnsi="Times New Roman" w:cs="Times New Roman"/>
          <w:b/>
          <w:snapToGrid w:val="0"/>
          <w:kern w:val="0"/>
        </w:rPr>
      </w:pPr>
    </w:p>
    <w:p>
      <w:pPr>
        <w:spacing w:line="460" w:lineRule="exact"/>
        <w:jc w:val="center"/>
        <w:rPr>
          <w:rFonts w:hint="default" w:ascii="Times New Roman" w:hAnsi="Times New Roman" w:cs="Times New Roman"/>
          <w:snapToGrid w:val="0"/>
          <w:kern w:val="0"/>
          <w:szCs w:val="32"/>
        </w:rPr>
      </w:pPr>
    </w:p>
    <w:p>
      <w:pPr>
        <w:spacing w:line="460" w:lineRule="exact"/>
        <w:jc w:val="center"/>
        <w:rPr>
          <w:rFonts w:hint="default" w:ascii="Times New Roman" w:hAnsi="Times New Roman" w:cs="Times New Roman"/>
          <w:snapToGrid w:val="0"/>
          <w:kern w:val="0"/>
          <w:szCs w:val="32"/>
        </w:rPr>
      </w:pPr>
    </w:p>
    <w:p>
      <w:pPr>
        <w:spacing w:line="460" w:lineRule="exact"/>
        <w:jc w:val="center"/>
        <w:rPr>
          <w:rFonts w:hint="default" w:ascii="Times New Roman" w:hAnsi="Times New Roman" w:cs="Times New Roman"/>
          <w:snapToGrid w:val="0"/>
          <w:kern w:val="0"/>
          <w:szCs w:val="32"/>
        </w:rPr>
      </w:pPr>
    </w:p>
    <w:p>
      <w:pPr>
        <w:spacing w:line="460" w:lineRule="exact"/>
        <w:jc w:val="center"/>
        <w:rPr>
          <w:rFonts w:hint="default" w:ascii="Times New Roman" w:hAnsi="Times New Roman" w:cs="Times New Roman"/>
          <w:snapToGrid w:val="0"/>
          <w:kern w:val="0"/>
          <w:szCs w:val="32"/>
        </w:rPr>
      </w:pPr>
    </w:p>
    <w:p>
      <w:pPr>
        <w:spacing w:line="460" w:lineRule="exact"/>
        <w:jc w:val="center"/>
        <w:rPr>
          <w:rFonts w:hint="default" w:ascii="Times New Roman" w:hAnsi="Times New Roman" w:cs="Times New Roman"/>
          <w:snapToGrid w:val="0"/>
          <w:kern w:val="0"/>
          <w:szCs w:val="32"/>
        </w:rPr>
      </w:pPr>
    </w:p>
    <w:p>
      <w:pPr>
        <w:spacing w:line="460" w:lineRule="exact"/>
        <w:jc w:val="center"/>
        <w:rPr>
          <w:rFonts w:hint="default" w:ascii="Times New Roman" w:hAnsi="Times New Roman" w:cs="Times New Roman"/>
          <w:snapToGrid w:val="0"/>
          <w:kern w:val="0"/>
          <w:szCs w:val="32"/>
        </w:rPr>
      </w:pPr>
    </w:p>
    <w:p>
      <w:pPr>
        <w:spacing w:line="560" w:lineRule="exact"/>
        <w:jc w:val="center"/>
        <w:rPr>
          <w:rFonts w:hint="default" w:ascii="Times New Roman" w:hAnsi="Times New Roman" w:eastAsia="仿宋_GB2312" w:cs="Times New Roman"/>
          <w:snapToGrid w:val="0"/>
          <w:kern w:val="0"/>
          <w:sz w:val="32"/>
          <w:szCs w:val="32"/>
          <w:lang w:eastAsia="zh-CN"/>
        </w:rPr>
      </w:pPr>
      <w:r>
        <w:rPr>
          <w:rFonts w:hint="default" w:ascii="Times New Roman" w:hAnsi="Times New Roman" w:eastAsia="仿宋_GB2312" w:cs="Times New Roman"/>
          <w:snapToGrid w:val="0"/>
          <w:kern w:val="0"/>
          <w:sz w:val="32"/>
          <w:szCs w:val="32"/>
        </w:rPr>
        <w:t>宝庙</w:t>
      </w:r>
      <w:r>
        <w:rPr>
          <w:rFonts w:hint="default" w:ascii="Times New Roman" w:hAnsi="Times New Roman" w:eastAsia="仿宋_GB2312" w:cs="Times New Roman"/>
          <w:snapToGrid w:val="0"/>
          <w:kern w:val="0"/>
          <w:sz w:val="32"/>
          <w:szCs w:val="32"/>
          <w:lang w:eastAsia="zh-CN"/>
        </w:rPr>
        <w:t>府</w:t>
      </w:r>
      <w:r>
        <w:rPr>
          <w:rFonts w:hint="default" w:ascii="Times New Roman" w:hAnsi="Times New Roman" w:eastAsia="仿宋_GB2312" w:cs="Times New Roman"/>
          <w:snapToGrid w:val="0"/>
          <w:kern w:val="0"/>
          <w:sz w:val="32"/>
          <w:szCs w:val="32"/>
        </w:rPr>
        <w:t>〔20</w:t>
      </w:r>
      <w:r>
        <w:rPr>
          <w:rFonts w:hint="default" w:ascii="Times New Roman" w:hAnsi="Times New Roman" w:eastAsia="仿宋_GB2312" w:cs="Times New Roman"/>
          <w:snapToGrid w:val="0"/>
          <w:kern w:val="0"/>
          <w:sz w:val="32"/>
          <w:szCs w:val="32"/>
          <w:lang w:val="en-US" w:eastAsia="zh-CN"/>
        </w:rPr>
        <w:t>22</w:t>
      </w: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snapToGrid w:val="0"/>
          <w:kern w:val="0"/>
          <w:sz w:val="32"/>
          <w:szCs w:val="32"/>
        </w:rPr>
        <w:t>号</w:t>
      </w:r>
    </w:p>
    <w:p>
      <w:pPr>
        <w:adjustRightInd w:val="0"/>
        <w:snapToGrid w:val="0"/>
        <w:spacing w:line="560" w:lineRule="exact"/>
        <w:jc w:val="center"/>
        <w:rPr>
          <w:rFonts w:hint="default" w:ascii="Times New Roman" w:hAnsi="Times New Roman" w:cs="Times New Roman"/>
          <w:snapToGrid w:val="0"/>
          <w:kern w:val="0"/>
          <w:szCs w:val="32"/>
        </w:rPr>
      </w:pPr>
    </w:p>
    <w:p>
      <w:pPr>
        <w:adjustRightInd w:val="0"/>
        <w:snapToGrid w:val="0"/>
        <w:spacing w:line="560" w:lineRule="exact"/>
        <w:jc w:val="center"/>
        <w:rPr>
          <w:rFonts w:hint="default" w:ascii="Times New Roman" w:hAnsi="Times New Roman" w:cs="Times New Roman"/>
          <w:snapToGrid w:val="0"/>
          <w:kern w:val="0"/>
          <w:szCs w:val="32"/>
        </w:rPr>
      </w:pPr>
    </w:p>
    <w:p>
      <w:pPr>
        <w:spacing w:line="540" w:lineRule="exact"/>
        <w:jc w:val="center"/>
        <w:rPr>
          <w:rFonts w:hint="default" w:ascii="Times New Roman" w:hAnsi="Times New Roman" w:eastAsia="仿宋" w:cs="Times New Roman"/>
          <w:sz w:val="36"/>
          <w:szCs w:val="36"/>
        </w:rPr>
      </w:pPr>
      <w:r>
        <w:rPr>
          <w:rFonts w:hint="default" w:ascii="Times New Roman" w:hAnsi="Times New Roman" w:eastAsia="华文中宋" w:cs="Times New Roman"/>
          <w:b/>
          <w:sz w:val="44"/>
          <w:szCs w:val="44"/>
        </w:rPr>
        <w:t>关于印发《庙行镇</w:t>
      </w:r>
      <w:r>
        <w:rPr>
          <w:rFonts w:hint="default" w:ascii="Times New Roman" w:hAnsi="Times New Roman" w:eastAsia="华文中宋" w:cs="Times New Roman"/>
          <w:b/>
          <w:sz w:val="44"/>
          <w:szCs w:val="44"/>
          <w:lang w:val="en-US" w:eastAsia="zh-CN"/>
        </w:rPr>
        <w:t>2022年安全生产工作意见</w:t>
      </w:r>
      <w:r>
        <w:rPr>
          <w:rFonts w:hint="default" w:ascii="Times New Roman" w:hAnsi="Times New Roman" w:eastAsia="华文中宋" w:cs="Times New Roman"/>
          <w:b/>
          <w:sz w:val="44"/>
          <w:szCs w:val="44"/>
        </w:rPr>
        <w:t>》的通知</w:t>
      </w:r>
    </w:p>
    <w:p>
      <w:pPr>
        <w:pStyle w:val="2"/>
        <w:rPr>
          <w:rFonts w:hint="default" w:ascii="Times New Roman" w:hAnsi="Times New Roman" w:cs="Times New Roman"/>
        </w:rPr>
      </w:pPr>
    </w:p>
    <w:p>
      <w:pPr>
        <w:adjustRightInd w:val="0"/>
        <w:snapToGrid w:val="0"/>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公司</w:t>
      </w:r>
      <w:r>
        <w:rPr>
          <w:rFonts w:hint="default" w:ascii="Times New Roman" w:hAnsi="Times New Roman" w:eastAsia="仿宋_GB2312" w:cs="Times New Roman"/>
          <w:sz w:val="32"/>
          <w:szCs w:val="32"/>
          <w:lang w:eastAsia="zh-CN"/>
        </w:rPr>
        <w:t>、居民区</w:t>
      </w:r>
      <w:r>
        <w:rPr>
          <w:rFonts w:hint="default" w:ascii="Times New Roman" w:hAnsi="Times New Roman" w:eastAsia="仿宋_GB2312" w:cs="Times New Roman"/>
          <w:sz w:val="32"/>
          <w:szCs w:val="32"/>
        </w:rPr>
        <w:t>：</w:t>
      </w:r>
    </w:p>
    <w:p>
      <w:pPr>
        <w:adjustRightInd w:val="0"/>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bCs/>
          <w:kern w:val="0"/>
          <w:sz w:val="32"/>
          <w:szCs w:val="32"/>
        </w:rPr>
        <w:t>庙行镇</w:t>
      </w:r>
      <w:r>
        <w:rPr>
          <w:rFonts w:hint="default" w:ascii="Times New Roman" w:hAnsi="Times New Roman" w:eastAsia="仿宋_GB2312" w:cs="Times New Roman"/>
          <w:bCs/>
          <w:kern w:val="0"/>
          <w:sz w:val="32"/>
          <w:szCs w:val="32"/>
          <w:lang w:val="en-US" w:eastAsia="zh-CN"/>
        </w:rPr>
        <w:t>2022</w:t>
      </w:r>
      <w:r>
        <w:rPr>
          <w:rFonts w:hint="default" w:ascii="Times New Roman" w:hAnsi="Times New Roman" w:eastAsia="仿宋_GB2312" w:cs="Times New Roman"/>
          <w:bCs/>
          <w:kern w:val="0"/>
          <w:sz w:val="32"/>
          <w:szCs w:val="32"/>
        </w:rPr>
        <w:t>安全生产</w:t>
      </w:r>
      <w:r>
        <w:rPr>
          <w:rFonts w:hint="default" w:ascii="Times New Roman" w:hAnsi="Times New Roman" w:eastAsia="仿宋_GB2312" w:cs="Times New Roman"/>
          <w:bCs/>
          <w:kern w:val="0"/>
          <w:sz w:val="32"/>
          <w:szCs w:val="32"/>
          <w:lang w:eastAsia="zh-CN"/>
        </w:rPr>
        <w:t>工作意见</w:t>
      </w:r>
      <w:r>
        <w:rPr>
          <w:rFonts w:hint="default" w:ascii="Times New Roman" w:hAnsi="Times New Roman" w:eastAsia="仿宋_GB2312" w:cs="Times New Roman"/>
          <w:sz w:val="32"/>
          <w:szCs w:val="32"/>
        </w:rPr>
        <w:t>》印发给你，请严格遵照执行。</w:t>
      </w:r>
    </w:p>
    <w:p>
      <w:pPr>
        <w:pStyle w:val="2"/>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特此通知。</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5120" w:leftChars="0" w:right="0" w:hanging="5120" w:hanging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5120" w:firstLineChars="1600"/>
        <w:jc w:val="both"/>
        <w:textAlignment w:val="auto"/>
        <w:rPr>
          <w:rFonts w:hint="default" w:ascii="Times New Roman" w:hAnsi="Times New Roman" w:eastAsia="仿宋_GB2312" w:cs="Times New Roman"/>
          <w:color w:val="000000"/>
          <w:sz w:val="32"/>
          <w:szCs w:val="32"/>
          <w:lang w:val="en-US" w:eastAsia="zh-CN"/>
        </w:rPr>
        <w:sectPr>
          <w:footerReference r:id="rId3" w:type="default"/>
          <w:footerReference r:id="rId4" w:type="even"/>
          <w:pgSz w:w="11907" w:h="16840"/>
          <w:pgMar w:top="2098" w:right="1474" w:bottom="1871" w:left="1588" w:header="851" w:footer="992" w:gutter="0"/>
          <w:pgNumType w:fmt="decimal"/>
          <w:cols w:space="720" w:num="1"/>
          <w:docGrid w:type="lines" w:linePitch="312" w:charSpace="0"/>
        </w:sect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0"/>
        <w:jc w:val="center"/>
        <w:textAlignment w:val="auto"/>
        <w:outlineLvl w:val="9"/>
        <w:rPr>
          <w:rFonts w:hint="default" w:ascii="Times New Roman" w:hAnsi="Times New Roman" w:eastAsia="华文中宋" w:cs="Times New Roman"/>
          <w:b/>
          <w:bCs/>
          <w:sz w:val="44"/>
          <w:szCs w:val="44"/>
        </w:rPr>
      </w:pPr>
      <w:r>
        <w:rPr>
          <w:rFonts w:hint="default" w:ascii="Times New Roman" w:hAnsi="Times New Roman" w:eastAsia="华文中宋" w:cs="Times New Roman"/>
          <w:b/>
          <w:bCs/>
          <w:sz w:val="44"/>
          <w:szCs w:val="44"/>
          <w:lang w:val="en-US" w:eastAsia="zh-CN"/>
        </w:rPr>
        <w:t>庙行镇</w:t>
      </w:r>
      <w:r>
        <w:rPr>
          <w:rFonts w:hint="default" w:ascii="Times New Roman" w:hAnsi="Times New Roman" w:eastAsia="华文中宋" w:cs="Times New Roman"/>
          <w:b/>
          <w:bCs/>
          <w:sz w:val="44"/>
          <w:szCs w:val="44"/>
        </w:rPr>
        <w:t>202</w:t>
      </w:r>
      <w:r>
        <w:rPr>
          <w:rFonts w:hint="default" w:ascii="Times New Roman" w:hAnsi="Times New Roman" w:eastAsia="华文中宋" w:cs="Times New Roman"/>
          <w:b/>
          <w:bCs/>
          <w:sz w:val="44"/>
          <w:szCs w:val="44"/>
          <w:lang w:val="en-US"/>
        </w:rPr>
        <w:t>2</w:t>
      </w:r>
      <w:r>
        <w:rPr>
          <w:rFonts w:hint="default" w:ascii="Times New Roman" w:hAnsi="Times New Roman" w:eastAsia="华文中宋" w:cs="Times New Roman"/>
          <w:b/>
          <w:bCs/>
          <w:sz w:val="44"/>
          <w:szCs w:val="44"/>
        </w:rPr>
        <w:t>年安全生产工作意见</w:t>
      </w:r>
    </w:p>
    <w:p>
      <w:pPr>
        <w:pStyle w:val="2"/>
        <w:keepNext w:val="0"/>
        <w:keepLines w:val="0"/>
        <w:pageBreakBefore w:val="0"/>
        <w:widowControl w:val="0"/>
        <w:kinsoku/>
        <w:wordWrap/>
        <w:overflowPunct/>
        <w:topLinePunct w:val="0"/>
        <w:autoSpaceDE/>
        <w:autoSpaceDN/>
        <w:bidi w:val="0"/>
        <w:spacing w:line="520"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是进入全面建设社会主义现代化国家、向第二个百年奋斗目标进军新征程的重要一年，也是安全生产“十四五”规划全面推进、专项整治三年行动巩固提升成果转化的关键一年，防风险、遏事故、除隐患、保安全、促提升任务艰巨。</w:t>
      </w:r>
      <w:r>
        <w:rPr>
          <w:rFonts w:hint="default" w:ascii="Times New Roman" w:hAnsi="Times New Roman" w:eastAsia="仿宋_GB2312" w:cs="Times New Roman"/>
          <w:sz w:val="32"/>
          <w:szCs w:val="32"/>
          <w:lang w:eastAsia="zh-CN"/>
        </w:rPr>
        <w:t>本镇</w:t>
      </w:r>
      <w:r>
        <w:rPr>
          <w:rFonts w:hint="default" w:ascii="Times New Roman" w:hAnsi="Times New Roman" w:eastAsia="仿宋_GB2312" w:cs="Times New Roman"/>
          <w:sz w:val="32"/>
          <w:szCs w:val="32"/>
        </w:rPr>
        <w:t>安全生产工作的总体要求是：以习近平新时代中国特色社会主义思想为指导，全面贯彻党的十九大和十九届历次全会精神，深入贯彻落实习近平总书记关于安全生产重要论述和考察上海重要讲话精神，坚持人民至上、生命至上，践行人民城市重要理念</w:t>
      </w:r>
      <w:r>
        <w:rPr>
          <w:rFonts w:hint="default" w:ascii="Times New Roman" w:hAnsi="Times New Roman" w:eastAsia="仿宋_GB2312" w:cs="Times New Roman"/>
          <w:color w:val="auto"/>
          <w:sz w:val="32"/>
          <w:szCs w:val="32"/>
        </w:rPr>
        <w:t>，统筹</w:t>
      </w:r>
      <w:r>
        <w:rPr>
          <w:rFonts w:hint="default" w:ascii="Times New Roman" w:hAnsi="Times New Roman" w:eastAsia="仿宋_GB2312" w:cs="Times New Roman"/>
          <w:color w:val="auto"/>
          <w:sz w:val="32"/>
          <w:szCs w:val="32"/>
          <w:lang w:val="en-US" w:eastAsia="zh-CN"/>
        </w:rPr>
        <w:t>做好经济发展、疫情防控和安全生产工作</w:t>
      </w:r>
      <w:r>
        <w:rPr>
          <w:rFonts w:hint="default" w:ascii="Times New Roman" w:hAnsi="Times New Roman" w:eastAsia="仿宋_GB2312" w:cs="Times New Roman"/>
          <w:color w:val="auto"/>
          <w:sz w:val="32"/>
          <w:szCs w:val="32"/>
        </w:rPr>
        <w:t>，以隐患“动态清零”、事故“减量防大”（压减一般生产安全事故，坚决遏</w:t>
      </w:r>
      <w:r>
        <w:rPr>
          <w:rFonts w:hint="default" w:ascii="Times New Roman" w:hAnsi="Times New Roman" w:eastAsia="仿宋_GB2312" w:cs="Times New Roman"/>
          <w:sz w:val="32"/>
          <w:szCs w:val="32"/>
        </w:rPr>
        <w:t>制较大以上生产安全事故）为目标，以深入贯彻新修订《安全生产法》《上海市安全生产条例》为牵引，以打好安全生产专项整治三年行动收官战为主线，着力在树牢意识、压实责任、集中整治、完善制度、提升能力等方面下更大功夫，全面提升本质安全水平，守牢城市安全底线。</w:t>
      </w:r>
    </w:p>
    <w:p>
      <w:pPr>
        <w:keepNext w:val="0"/>
        <w:keepLines w:val="0"/>
        <w:pageBreakBefore w:val="0"/>
        <w:widowControl/>
        <w:kinsoku/>
        <w:wordWrap/>
        <w:overflowPunct/>
        <w:topLinePunct w:val="0"/>
        <w:autoSpaceDE/>
        <w:autoSpaceDN/>
        <w:bidi w:val="0"/>
        <w:adjustRightInd w:val="0"/>
        <w:snapToGrid w:val="0"/>
        <w:spacing w:line="520" w:lineRule="exact"/>
        <w:ind w:lef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深化</w:t>
      </w:r>
      <w:r>
        <w:rPr>
          <w:rFonts w:hint="default" w:ascii="Times New Roman" w:hAnsi="Times New Roman" w:eastAsia="黑体" w:cs="Times New Roman"/>
          <w:sz w:val="32"/>
          <w:szCs w:val="32"/>
          <w:shd w:val="clear" w:color="auto" w:fill="FFFFFF"/>
        </w:rPr>
        <w:t>安全生产责任体系建设</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sz w:val="32"/>
          <w:szCs w:val="32"/>
        </w:rPr>
        <w:t>（一）压实党政领导责任</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推动党委政府深入学习贯彻习近平总书记关于安全生产重要论述，牢固树立安全发展理念，强化安全生产红线意识。将安全生产、消防安全纳入领导干部教育、巡查谈话和提醒重要内容，将安全风险防控重点工作列入党委和政府督查督办事项。组织领导干部安全生产专题培训，切实增强统筹发展和安全的能力，提升防范化解重大安全风险的政治自觉。全面贯彻落实地方党政领导干部安全生产</w:t>
      </w:r>
      <w:r>
        <w:rPr>
          <w:rFonts w:hint="default" w:ascii="Times New Roman" w:hAnsi="Times New Roman" w:eastAsia="仿宋_GB2312" w:cs="Times New Roman"/>
          <w:color w:val="auto"/>
          <w:sz w:val="32"/>
          <w:szCs w:val="32"/>
        </w:rPr>
        <w:t>责任制，</w:t>
      </w:r>
      <w:r>
        <w:rPr>
          <w:rFonts w:hint="default" w:ascii="Times New Roman" w:hAnsi="Times New Roman" w:eastAsia="仿宋_GB2312" w:cs="Times New Roman"/>
          <w:color w:val="auto"/>
          <w:sz w:val="32"/>
          <w:szCs w:val="32"/>
          <w:lang w:val="en-US" w:eastAsia="zh-CN"/>
        </w:rPr>
        <w:t>综合运用巡查督查、考核考察、激励奖惩等措施加强对安全生产工作的组织领导。</w:t>
      </w:r>
      <w:r>
        <w:rPr>
          <w:rFonts w:hint="default" w:ascii="Times New Roman" w:hAnsi="Times New Roman" w:eastAsia="仿宋_GB2312" w:cs="Times New Roman"/>
          <w:sz w:val="32"/>
          <w:szCs w:val="32"/>
        </w:rPr>
        <w:t>制定完善党政领导干部职责清单和</w:t>
      </w:r>
      <w:r>
        <w:rPr>
          <w:rFonts w:hint="default" w:ascii="Times New Roman" w:hAnsi="Times New Roman" w:eastAsia="仿宋_GB2312" w:cs="Times New Roman"/>
          <w:sz w:val="32"/>
          <w:szCs w:val="32"/>
          <w:lang w:val="en-US" w:eastAsia="zh-CN"/>
        </w:rPr>
        <w:t>年度任务</w:t>
      </w:r>
      <w:r>
        <w:rPr>
          <w:rFonts w:hint="default" w:ascii="Times New Roman" w:hAnsi="Times New Roman" w:eastAsia="仿宋_GB2312" w:cs="Times New Roman"/>
          <w:sz w:val="32"/>
          <w:szCs w:val="32"/>
        </w:rPr>
        <w:t>清单制度，严格落实党政领导干部安全生产履职述职报告制度和带队督查检查机制，以领导干部全面深入的大走访、大排查工作，推动“促发展、保安全”工作落地见效。发挥安委会（办）综合协调作用，</w:t>
      </w:r>
      <w:r>
        <w:rPr>
          <w:rFonts w:hint="default" w:ascii="Times New Roman" w:hAnsi="Times New Roman" w:eastAsia="仿宋_GB2312" w:cs="Times New Roman"/>
          <w:color w:val="auto"/>
          <w:sz w:val="32"/>
          <w:szCs w:val="32"/>
          <w:lang w:val="en-US" w:eastAsia="zh-CN"/>
        </w:rPr>
        <w:t>从严从实</w:t>
      </w:r>
      <w:r>
        <w:rPr>
          <w:rFonts w:hint="default" w:ascii="Times New Roman" w:hAnsi="Times New Roman" w:eastAsia="仿宋_GB2312" w:cs="Times New Roman"/>
          <w:color w:val="auto"/>
          <w:sz w:val="32"/>
          <w:szCs w:val="32"/>
        </w:rPr>
        <w:t>贯彻</w:t>
      </w:r>
      <w:r>
        <w:rPr>
          <w:rFonts w:hint="default" w:ascii="Times New Roman" w:hAnsi="Times New Roman" w:eastAsia="仿宋_GB2312" w:cs="Times New Roman"/>
          <w:color w:val="auto"/>
          <w:sz w:val="32"/>
          <w:szCs w:val="32"/>
          <w:lang w:val="en-US" w:eastAsia="zh-CN"/>
        </w:rPr>
        <w:t>落实国务院安委会</w:t>
      </w:r>
      <w:r>
        <w:rPr>
          <w:rFonts w:hint="default" w:ascii="Times New Roman" w:hAnsi="Times New Roman" w:eastAsia="仿宋_GB2312" w:cs="Times New Roman"/>
          <w:color w:val="auto"/>
          <w:sz w:val="32"/>
          <w:szCs w:val="32"/>
        </w:rPr>
        <w:t>安全生产“十五条硬措施”和</w:t>
      </w:r>
      <w:r>
        <w:rPr>
          <w:rFonts w:hint="default" w:ascii="Times New Roman" w:hAnsi="Times New Roman" w:eastAsia="仿宋_GB2312" w:cs="Times New Roman"/>
          <w:color w:val="auto"/>
          <w:sz w:val="32"/>
          <w:szCs w:val="32"/>
          <w:lang w:val="en-US" w:eastAsia="zh-CN"/>
        </w:rPr>
        <w:t>上海市安委会</w:t>
      </w:r>
      <w:r>
        <w:rPr>
          <w:rFonts w:hint="default" w:ascii="Times New Roman" w:hAnsi="Times New Roman" w:eastAsia="仿宋_GB2312" w:cs="Times New Roman"/>
          <w:color w:val="auto"/>
          <w:sz w:val="32"/>
          <w:szCs w:val="32"/>
        </w:rPr>
        <w:t>安全生产“78条”，完善安全生产、消防安全警示、督办、约谈、巡查考核等制度。</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sz w:val="32"/>
          <w:szCs w:val="32"/>
        </w:rPr>
        <w:t>（二）夯实部门监管责任</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健全“三管三必须”工作体系，修订安委会工作规则，建立健全安委会成员单位安全生产工作职责分工和责任、权力、监管、任务“四类”清单；厘清职责交叉、联系紧密的领域和环节职责，推动多部门综合治理。加强平台新业态安全问题研究，防止失管漏控</w:t>
      </w:r>
      <w:r>
        <w:rPr>
          <w:rFonts w:hint="default" w:ascii="Times New Roman" w:hAnsi="Times New Roman" w:eastAsia="仿宋_GB2312" w:cs="Times New Roman"/>
          <w:color w:val="auto"/>
          <w:spacing w:val="0"/>
          <w:w w:val="100"/>
          <w:positio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（三）严格企业主体责任</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坚持安全生产高标准、严要求，依法督促企业履行主体责任，把风险管理落实到生产经营活动的全环节、全过程。严格企业负责人安全生产领导责任，夯实企业安全管理的全流程规范和全员责任。健全完善企业风险识别评估、风险预警预控、隐患排查治理、重大危险源监控、应急管理等制度。大力推进企业安全生产、消防安全标准化建设，实现安全管理、操作行为、设备设施和作业环境的标准化。督促企业严格落实风险分级管控、在线监控、隐患自查自纠自报、安全告知和承诺制度等新举措，加强对企业构建预控体系的监督检查，将建立双重预防机制工作情况纳入政府安全生产目标考核重要内容。</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深化</w:t>
      </w:r>
      <w:r>
        <w:rPr>
          <w:rFonts w:hint="default" w:ascii="Times New Roman" w:hAnsi="Times New Roman" w:eastAsia="黑体" w:cs="Times New Roman"/>
          <w:sz w:val="32"/>
          <w:szCs w:val="32"/>
        </w:rPr>
        <w:t>安全</w:t>
      </w:r>
      <w:r>
        <w:rPr>
          <w:rFonts w:hint="default" w:ascii="Times New Roman" w:hAnsi="Times New Roman" w:eastAsia="黑体" w:cs="Times New Roman"/>
          <w:sz w:val="32"/>
          <w:szCs w:val="32"/>
          <w:lang w:val="en-US" w:eastAsia="zh-CN"/>
        </w:rPr>
        <w:t>风险</w:t>
      </w:r>
      <w:r>
        <w:rPr>
          <w:rFonts w:hint="default" w:ascii="Times New Roman" w:hAnsi="Times New Roman" w:eastAsia="黑体" w:cs="Times New Roman"/>
          <w:sz w:val="32"/>
          <w:szCs w:val="32"/>
        </w:rPr>
        <w:t>预控机制</w:t>
      </w:r>
      <w:r>
        <w:rPr>
          <w:rFonts w:hint="default" w:ascii="Times New Roman" w:hAnsi="Times New Roman" w:eastAsia="黑体" w:cs="Times New Roman"/>
          <w:sz w:val="32"/>
          <w:szCs w:val="32"/>
          <w:lang w:val="en-US" w:eastAsia="zh-CN"/>
        </w:rPr>
        <w:t>建设</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snapToGrid w:val="0"/>
          <w:color w:val="000000"/>
          <w:spacing w:val="0"/>
          <w:w w:val="100"/>
          <w:kern w:val="0"/>
          <w:position w:val="0"/>
          <w:sz w:val="32"/>
          <w:szCs w:val="32"/>
          <w:u w:val="none"/>
          <w:shd w:val="clear" w:color="auto" w:fill="auto"/>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四</w:t>
      </w:r>
      <w:r>
        <w:rPr>
          <w:rFonts w:hint="default" w:ascii="Times New Roman" w:hAnsi="Times New Roman" w:eastAsia="楷体_GB2312" w:cs="Times New Roman"/>
          <w:b/>
          <w:sz w:val="32"/>
          <w:szCs w:val="32"/>
        </w:rPr>
        <w:t>）完善风险防控体系</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napToGrid w:val="0"/>
          <w:color w:val="000000"/>
          <w:spacing w:val="0"/>
          <w:w w:val="100"/>
          <w:kern w:val="0"/>
          <w:position w:val="0"/>
          <w:sz w:val="32"/>
          <w:szCs w:val="32"/>
          <w:u w:val="none"/>
          <w:shd w:val="clear" w:color="auto" w:fill="auto"/>
        </w:rPr>
        <w:t>健全形势分析研判机制</w:t>
      </w:r>
      <w:r>
        <w:rPr>
          <w:rFonts w:hint="default" w:ascii="Times New Roman" w:hAnsi="Times New Roman" w:eastAsia="仿宋_GB2312" w:cs="Times New Roman"/>
          <w:snapToGrid w:val="0"/>
          <w:color w:val="000000"/>
          <w:spacing w:val="0"/>
          <w:w w:val="100"/>
          <w:kern w:val="0"/>
          <w:position w:val="0"/>
          <w:sz w:val="32"/>
          <w:szCs w:val="32"/>
          <w:u w:val="none"/>
          <w:shd w:val="clear" w:color="auto" w:fill="auto"/>
          <w:lang w:eastAsia="zh-CN"/>
        </w:rPr>
        <w:t>，</w:t>
      </w:r>
      <w:r>
        <w:rPr>
          <w:rFonts w:hint="default" w:ascii="Times New Roman" w:hAnsi="Times New Roman" w:eastAsia="仿宋_GB2312" w:cs="Times New Roman"/>
          <w:snapToGrid w:val="0"/>
          <w:color w:val="000000"/>
          <w:spacing w:val="0"/>
          <w:w w:val="100"/>
          <w:kern w:val="0"/>
          <w:position w:val="0"/>
          <w:sz w:val="32"/>
          <w:szCs w:val="32"/>
          <w:u w:val="none"/>
          <w:shd w:val="clear" w:color="auto" w:fill="auto"/>
        </w:rPr>
        <w:t>推动行业部门辨识评估、监测预警、分级防控本行业领域内重大安全风险。</w:t>
      </w:r>
      <w:bookmarkStart w:id="0" w:name="bookmark29"/>
      <w:bookmarkEnd w:id="0"/>
      <w:r>
        <w:rPr>
          <w:rFonts w:hint="default" w:ascii="Times New Roman" w:hAnsi="Times New Roman" w:eastAsia="仿宋_GB2312" w:cs="Times New Roman"/>
          <w:snapToGrid w:val="0"/>
          <w:color w:val="000000"/>
          <w:spacing w:val="0"/>
          <w:w w:val="100"/>
          <w:kern w:val="0"/>
          <w:position w:val="0"/>
          <w:sz w:val="32"/>
          <w:szCs w:val="32"/>
          <w:u w:val="none"/>
          <w:shd w:val="clear" w:color="auto" w:fill="auto"/>
        </w:rPr>
        <w:t>健全信息互通共享机制</w:t>
      </w:r>
      <w:r>
        <w:rPr>
          <w:rFonts w:hint="default" w:ascii="Times New Roman" w:hAnsi="Times New Roman" w:eastAsia="仿宋_GB2312" w:cs="Times New Roman"/>
          <w:snapToGrid w:val="0"/>
          <w:color w:val="000000"/>
          <w:spacing w:val="0"/>
          <w:w w:val="100"/>
          <w:kern w:val="0"/>
          <w:position w:val="0"/>
          <w:sz w:val="32"/>
          <w:szCs w:val="32"/>
          <w:u w:val="none"/>
          <w:shd w:val="clear" w:color="auto" w:fill="auto"/>
          <w:lang w:eastAsia="zh-CN"/>
        </w:rPr>
        <w:t>，</w:t>
      </w:r>
      <w:r>
        <w:rPr>
          <w:rFonts w:hint="default" w:ascii="Times New Roman" w:hAnsi="Times New Roman" w:eastAsia="仿宋_GB2312" w:cs="Times New Roman"/>
          <w:snapToGrid w:val="0"/>
          <w:color w:val="000000"/>
          <w:spacing w:val="0"/>
          <w:w w:val="100"/>
          <w:kern w:val="0"/>
          <w:position w:val="0"/>
          <w:sz w:val="32"/>
          <w:szCs w:val="32"/>
          <w:u w:val="none"/>
          <w:shd w:val="clear" w:color="auto" w:fill="auto"/>
        </w:rPr>
        <w:t>推动安全生产信息数据共享，探索智能化、数字化手段，加强对生产经营单位行政审批、监管执法、安全生产标准化、隐患排查、事故调查处理等数据的交流共享和运用拓展。</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五</w:t>
      </w:r>
      <w:r>
        <w:rPr>
          <w:rFonts w:hint="default" w:ascii="Times New Roman" w:hAnsi="Times New Roman" w:eastAsia="楷体_GB2312" w:cs="Times New Roman"/>
          <w:b/>
          <w:sz w:val="32"/>
          <w:szCs w:val="32"/>
        </w:rPr>
        <w:t>）强化风险监测预警</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推动安全生产在“一网通办、一网统管”实战应用中发挥作用，提升安全风险动态感知、科学研判、快速响应能力。增强应急管理数据保障支撑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进一步汇集安全生产、消防安全、防灾减灾、道路交通、特种设备、城市生命线等风险监测监控预警数据、城市运行基础数据、公共安全视频图像等数据资源，分级、分类、分场景支撑应急管理业务应用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六</w:t>
      </w:r>
      <w:r>
        <w:rPr>
          <w:rFonts w:hint="default" w:ascii="Times New Roman" w:hAnsi="Times New Roman" w:eastAsia="楷体_GB2312" w:cs="Times New Roman"/>
          <w:b/>
          <w:sz w:val="32"/>
          <w:szCs w:val="32"/>
        </w:rPr>
        <w:t>）强化安全监管执法</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加强监管执法能力建设，开展分类分级监管执法，推进应急综合执法数字化转型。建立健全行政执法和刑事司法衔接制度、典型执法案例定期通报制度和执法评议考核制</w:t>
      </w:r>
      <w:r>
        <w:rPr>
          <w:rFonts w:hint="default" w:ascii="Times New Roman" w:hAnsi="Times New Roman" w:eastAsia="仿宋_GB2312" w:cs="Times New Roman"/>
          <w:color w:val="auto"/>
          <w:sz w:val="32"/>
          <w:szCs w:val="32"/>
        </w:rPr>
        <w:t>度。持续保持高压态势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加强重要时间节点社会面安全生产督查检查工作。完</w:t>
      </w:r>
      <w:r>
        <w:rPr>
          <w:rFonts w:hint="default" w:ascii="Times New Roman" w:hAnsi="Times New Roman" w:eastAsia="仿宋_GB2312" w:cs="Times New Roman"/>
          <w:sz w:val="32"/>
          <w:szCs w:val="32"/>
        </w:rPr>
        <w:t>善事故后评估工作流程，督促事故责任单位依法依规落实后续</w:t>
      </w:r>
      <w:r>
        <w:rPr>
          <w:rFonts w:hint="default" w:ascii="Times New Roman" w:hAnsi="Times New Roman" w:eastAsia="仿宋_GB2312" w:cs="Times New Roman"/>
          <w:color w:val="auto"/>
          <w:sz w:val="32"/>
          <w:szCs w:val="32"/>
        </w:rPr>
        <w:t>整改措施。</w:t>
      </w:r>
      <w:r>
        <w:rPr>
          <w:rFonts w:hint="default" w:ascii="Times New Roman" w:hAnsi="Times New Roman" w:eastAsia="仿宋_GB2312" w:cs="Times New Roman"/>
          <w:color w:val="auto"/>
          <w:sz w:val="32"/>
          <w:szCs w:val="32"/>
          <w:lang w:eastAsia="zh-CN"/>
        </w:rPr>
        <w:t>高站位、高标准做好人大安全生产综合执法检查工作，推动《上海市安全生产条例》落地见效。</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深化重点行业领域</w:t>
      </w:r>
      <w:r>
        <w:rPr>
          <w:rFonts w:hint="default" w:ascii="Times New Roman" w:hAnsi="Times New Roman" w:eastAsia="黑体" w:cs="Times New Roman"/>
          <w:sz w:val="32"/>
          <w:szCs w:val="32"/>
        </w:rPr>
        <w:t>精准治理</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七</w:t>
      </w:r>
      <w:r>
        <w:rPr>
          <w:rFonts w:hint="default" w:ascii="Times New Roman" w:hAnsi="Times New Roman" w:eastAsia="楷体_GB2312" w:cs="Times New Roman"/>
          <w:b/>
          <w:sz w:val="32"/>
          <w:szCs w:val="32"/>
        </w:rPr>
        <w:t>）深化专项整治三年行动</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以深入推进安全生产专项整治三年行动为契机，全面排查整治风险隐患，减存量压增量，解决突出问题，消除重大隐患，完善制度措施，健全长效机制。聚焦短板弱项，引导重点行业规范安全生产条件，加强新材料、新工艺、新业态安全风险评估和管控，强化源头管控，推进关口前移。全面滚动开展风险和安全隐患排查，做细做实问题隐患和制度措施“两张清单”，突出整治重大风险隐患，实施挂牌督办和销项管理，组织暗查暗访和“回头看”，狠抓问题整改落实，推动动态清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20" w:lineRule="exact"/>
        <w:ind w:left="0" w:righ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val="0"/>
          <w:kern w:val="2"/>
          <w:sz w:val="32"/>
          <w:szCs w:val="32"/>
          <w:lang w:val="en-US" w:eastAsia="zh-CN" w:bidi="ar-SA"/>
        </w:rPr>
        <w:t>（八）狠抓危险化学品、工贸和园区安全管控。</w:t>
      </w:r>
      <w:r>
        <w:rPr>
          <w:rFonts w:hint="default" w:ascii="Times New Roman" w:hAnsi="Times New Roman" w:eastAsia="仿宋_GB2312" w:cs="Times New Roman"/>
          <w:b w:val="0"/>
          <w:bCs w:val="0"/>
          <w:kern w:val="2"/>
          <w:sz w:val="32"/>
          <w:szCs w:val="32"/>
          <w:lang w:val="en-US" w:eastAsia="zh-CN" w:bidi="ar-SA"/>
        </w:rPr>
        <w:t>开展危险化学品安全风险集中治理。开展重大危险源专项检查督导，落实重大危险源安全包保责任制，开展危险化学品储存</w:t>
      </w:r>
      <w:r>
        <w:rPr>
          <w:rFonts w:hint="default" w:ascii="Times New Roman" w:hAnsi="Times New Roman" w:eastAsia="仿宋_GB2312" w:cs="Times New Roman"/>
          <w:b w:val="0"/>
          <w:bCs w:val="0"/>
          <w:color w:val="auto"/>
          <w:kern w:val="2"/>
          <w:sz w:val="32"/>
          <w:szCs w:val="32"/>
          <w:lang w:val="en-US" w:eastAsia="zh-CN" w:bidi="ar-SA"/>
        </w:rPr>
        <w:t>企业信息化管理。组织开展工贸企业危险化学品使用安全集中攻坚，通过再排查、再整治实现由行政合法向技术合规延伸。</w:t>
      </w:r>
      <w:r>
        <w:rPr>
          <w:rFonts w:hint="default" w:ascii="Times New Roman" w:hAnsi="Times New Roman" w:eastAsia="仿宋_GB2312" w:cs="Times New Roman"/>
          <w:b w:val="0"/>
          <w:bCs w:val="0"/>
          <w:color w:val="auto"/>
          <w:sz w:val="32"/>
          <w:szCs w:val="32"/>
        </w:rPr>
        <w:t>规范提升安全生产标准化</w:t>
      </w:r>
      <w:r>
        <w:rPr>
          <w:rFonts w:hint="default" w:ascii="Times New Roman" w:hAnsi="Times New Roman"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rPr>
        <w:t>级企业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小</w:t>
      </w:r>
      <w:r>
        <w:rPr>
          <w:rFonts w:hint="default" w:ascii="Times New Roman" w:hAnsi="Times New Roman" w:eastAsia="仿宋_GB2312" w:cs="Times New Roman"/>
          <w:b w:val="0"/>
          <w:bCs w:val="0"/>
          <w:sz w:val="32"/>
          <w:szCs w:val="32"/>
          <w:lang w:val="en-US" w:eastAsia="zh-CN"/>
        </w:rPr>
        <w:t>企业</w:t>
      </w:r>
      <w:r>
        <w:rPr>
          <w:rFonts w:hint="default" w:ascii="Times New Roman" w:hAnsi="Times New Roman" w:eastAsia="仿宋_GB2312" w:cs="Times New Roman"/>
          <w:b w:val="0"/>
          <w:bCs w:val="0"/>
          <w:sz w:val="32"/>
          <w:szCs w:val="32"/>
        </w:rPr>
        <w:t>建设达标含金量。推动重点行业企业加快改造升级，鼓励企业加大安全投入，加快安全生产数字化转型。持续推进工业园区等功能区安全专项整治三年行动巩固提升，严格园区项目准入把关，加快安全相关结构调整和转型升级，推进绿色化工园区安全发展。</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w:t>
      </w:r>
      <w:r>
        <w:rPr>
          <w:rFonts w:hint="default" w:ascii="Times New Roman" w:hAnsi="Times New Roman" w:eastAsia="楷体_GB2312" w:cs="Times New Roman"/>
          <w:b/>
          <w:sz w:val="32"/>
          <w:szCs w:val="32"/>
          <w:lang w:val="en-US" w:eastAsia="zh-CN"/>
        </w:rPr>
        <w:t>九</w:t>
      </w:r>
      <w:r>
        <w:rPr>
          <w:rFonts w:hint="default" w:ascii="Times New Roman" w:hAnsi="Times New Roman" w:eastAsia="楷体_GB2312" w:cs="Times New Roman"/>
          <w:b/>
          <w:sz w:val="32"/>
          <w:szCs w:val="32"/>
        </w:rPr>
        <w:t>）扎实推进消防安全工作</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深化消防安全专项行动。推动加强高层建筑综合治理。持续推进大型商业综合体、中小学校消防安全标准化管理。集中攻坚高层建筑、电动自行车、储能电站、大型物流等重点领域和场所，深化大型商业综合体、打通“生命通道”、石油化工企业、厂房仓库等专项治理。紧盯城乡结合部“多合一”、老旧商住混合体、</w:t>
      </w:r>
      <w:r>
        <w:rPr>
          <w:rFonts w:hint="default" w:ascii="Times New Roman" w:hAnsi="Times New Roman" w:eastAsia="仿宋_GB2312" w:cs="Times New Roman"/>
          <w:sz w:val="32"/>
          <w:szCs w:val="32"/>
          <w:lang w:val="en-US" w:eastAsia="zh-CN"/>
        </w:rPr>
        <w:t>村（居）</w:t>
      </w:r>
      <w:r>
        <w:rPr>
          <w:rFonts w:hint="default" w:ascii="Times New Roman" w:hAnsi="Times New Roman" w:eastAsia="仿宋_GB2312" w:cs="Times New Roman"/>
          <w:sz w:val="32"/>
          <w:szCs w:val="32"/>
        </w:rPr>
        <w:t>民自建房、密室逃脱、私人影院、城市燃气、室内冰雪活动等高风险场所，分类别、分阶段综合施策、精准治理。持续排摸重大火灾隐患，提请区政府挂牌督办，推动整改销案。高质量完成年度市政府消防实事项目，推进电动自行车、养老、高层等消防设施改造增配项目。</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（十）加强交通运输安全保障</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继续深化道路交通违法行为大整治和道路交通事故预防“减量控大”专项行动，</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sz w:val="32"/>
          <w:szCs w:val="32"/>
        </w:rPr>
        <w:t>夯实“一盔一带”、大货车“右转必停”、大货车交通安全主动防御装置、“道路交通安全隐患清单式动态清零制度”等举措和策略，始终保持严管严查态势。夯实“一盔一带”建设成果，以100%戴盔率为目标开展，并加大对快递外卖行业的源头管控力度，确保快递外卖骑手出行即戴盔；持续推动运输企业增设大客车安全带自动报警装置，加大对跨省经</w:t>
      </w:r>
      <w:r>
        <w:rPr>
          <w:rFonts w:hint="default" w:ascii="Times New Roman" w:hAnsi="Times New Roman" w:eastAsia="仿宋_GB2312" w:cs="Times New Roman"/>
          <w:sz w:val="32"/>
          <w:szCs w:val="32"/>
          <w:lang w:val="en-US" w:eastAsia="zh-CN"/>
        </w:rPr>
        <w:t>营</w:t>
      </w:r>
      <w:r>
        <w:rPr>
          <w:rFonts w:hint="default" w:ascii="Times New Roman" w:hAnsi="Times New Roman" w:eastAsia="仿宋_GB2312" w:cs="Times New Roman"/>
          <w:sz w:val="32"/>
          <w:szCs w:val="32"/>
        </w:rPr>
        <w:t>、省际包车的督导检查力度；加强交通运输新业态监管服务，加大对新能源公交车、出租车运营安全性的监管力度，强化长途客运班车和省际包车、危险货物运输和公共交通安全监管，综合应用各类监控数据，推进行业安全风险可视化、精准化、动态化管理，推进交通行业风险研判、决策风险评估、风险防控协同、风险防控责任等机制建设。完善水上交通安全风险分级管控和隐患排查治理双重预防体系，建立风险隐患数据库。扎实推进各项专项整治活动走深走实。</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w:t>
      </w:r>
      <w:r>
        <w:rPr>
          <w:rFonts w:hint="default" w:ascii="Times New Roman" w:hAnsi="Times New Roman" w:eastAsia="楷体_GB2312" w:cs="Times New Roman"/>
          <w:b/>
          <w:sz w:val="32"/>
          <w:szCs w:val="32"/>
          <w:lang w:val="en-US" w:eastAsia="zh-CN"/>
        </w:rPr>
        <w:t>一</w:t>
      </w:r>
      <w:r>
        <w:rPr>
          <w:rFonts w:hint="default" w:ascii="Times New Roman" w:hAnsi="Times New Roman" w:eastAsia="楷体_GB2312" w:cs="Times New Roman"/>
          <w:b/>
          <w:sz w:val="32"/>
          <w:szCs w:val="32"/>
        </w:rPr>
        <w:t>）深化建设领域专项整治</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着力加强建筑施工安全风险分类分级管理，强化政府、市场、现场联动，加大危大工程监管力度。统筹推进城镇、农村房屋建筑违法违规建设专项整治，依托数字化管理平台开展高空坠物安全风险隐患专项治理，落实保障房外墙外保温质量整治工作。加强公用民防工程安全风险动态管控，完善公用民防工程安全管理数据信息。组织开展燃气安全排查整治，全面排查整治燃气管网和涉及燃气各领域安全风险隐患，切实加强燃气管道安全保护、燃气施工安全管理和瓶装液化气安全监管，全面推进餐饮企业加装可燃气体报警装置。将燃气安全与服务纳入社区治理和网格化管理的主要内容，健全和完善燃气安全监管工作的基层组织网络，提升城市燃气安全管理水平和抗风险能力。</w:t>
      </w:r>
    </w:p>
    <w:p>
      <w:pPr>
        <w:keepNext w:val="0"/>
        <w:keepLines w:val="0"/>
        <w:pageBreakBefore w:val="0"/>
        <w:kinsoku/>
        <w:wordWrap/>
        <w:overflowPunct/>
        <w:topLinePunct w:val="0"/>
        <w:autoSpaceDE/>
        <w:autoSpaceDN/>
        <w:bidi w:val="0"/>
        <w:adjustRightInd w:val="0"/>
        <w:snapToGrid w:val="0"/>
        <w:spacing w:line="520" w:lineRule="exact"/>
        <w:ind w:left="0" w:firstLine="643"/>
        <w:jc w:val="both"/>
        <w:textAlignment w:val="auto"/>
        <w:outlineLvl w:val="9"/>
        <w:rPr>
          <w:rFonts w:hint="default" w:ascii="Times New Roman" w:hAnsi="Times New Roman" w:cs="Times New Roman"/>
          <w:color w:val="auto"/>
          <w:sz w:val="32"/>
          <w:szCs w:val="32"/>
        </w:rPr>
      </w:pPr>
      <w:r>
        <w:rPr>
          <w:rFonts w:hint="default" w:ascii="Times New Roman" w:hAnsi="Times New Roman" w:eastAsia="楷体_GB2312" w:cs="Times New Roman"/>
          <w:b/>
          <w:sz w:val="32"/>
          <w:szCs w:val="32"/>
        </w:rPr>
        <w:t>（十</w:t>
      </w:r>
      <w:r>
        <w:rPr>
          <w:rFonts w:hint="default"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）强化特种设备风险防控</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color w:val="auto"/>
          <w:sz w:val="32"/>
          <w:szCs w:val="32"/>
        </w:rPr>
        <w:t>依托特种设备安全工作联席会议，加强特种设备风险研判与应对举措研究，巩固特种设备多元共治格局。夯实推进压力管道普查治理（</w:t>
      </w:r>
      <w:r>
        <w:rPr>
          <w:rFonts w:hint="default" w:ascii="Times New Roman" w:hAnsi="Times New Roman" w:cs="Times New Roman"/>
          <w:color w:val="auto"/>
          <w:sz w:val="32"/>
          <w:szCs w:val="32"/>
        </w:rPr>
        <w:t>2021-2022</w:t>
      </w:r>
      <w:r>
        <w:rPr>
          <w:rFonts w:hint="default" w:ascii="Times New Roman" w:hAnsi="Times New Roman" w:eastAsia="仿宋_GB2312" w:cs="Times New Roman"/>
          <w:color w:val="auto"/>
          <w:sz w:val="32"/>
          <w:szCs w:val="32"/>
        </w:rPr>
        <w:t>）、涉危险化学品生产企业特种设备专项整治、持续开展快开门式压力容器、电站锅炉范围内管道及起重机械、场（厂）内专用机动车辆和电梯、大型游乐设施等机电类安全检查。继续推进特种设备使用单位风险分级管控和隐患排查治理双重预防机制建设。继续开展居民住宅小区老旧电梯安全评估。</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深化</w:t>
      </w:r>
      <w:r>
        <w:rPr>
          <w:rFonts w:hint="default" w:ascii="Times New Roman" w:hAnsi="Times New Roman" w:eastAsia="黑体" w:cs="Times New Roman"/>
          <w:sz w:val="32"/>
          <w:szCs w:val="32"/>
        </w:rPr>
        <w:t>社会安全共治格局</w:t>
      </w:r>
      <w:r>
        <w:rPr>
          <w:rFonts w:hint="default" w:ascii="Times New Roman" w:hAnsi="Times New Roman" w:eastAsia="黑体" w:cs="Times New Roman"/>
          <w:sz w:val="32"/>
          <w:szCs w:val="32"/>
          <w:lang w:val="en-US" w:eastAsia="zh-CN"/>
        </w:rPr>
        <w:t>建设</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w:t>
      </w:r>
      <w:r>
        <w:rPr>
          <w:rFonts w:hint="default" w:ascii="Times New Roman" w:hAnsi="Times New Roman" w:eastAsia="楷体_GB2312" w:cs="Times New Roman"/>
          <w:b/>
          <w:sz w:val="32"/>
          <w:szCs w:val="32"/>
          <w:lang w:val="en-US" w:eastAsia="zh-CN"/>
        </w:rPr>
        <w:t>三</w:t>
      </w:r>
      <w:r>
        <w:rPr>
          <w:rFonts w:hint="default" w:ascii="Times New Roman" w:hAnsi="Times New Roman" w:eastAsia="楷体_GB2312" w:cs="Times New Roman"/>
          <w:b/>
          <w:sz w:val="32"/>
          <w:szCs w:val="32"/>
        </w:rPr>
        <w:t>）完善应急体系</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推进应急指挥体系建设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充分发挥城市运行“一网统管”平台作用，增强观、管、防、处能力，提高突发事件处置能效。</w:t>
      </w:r>
      <w:r>
        <w:rPr>
          <w:rFonts w:hint="default" w:ascii="Times New Roman" w:hAnsi="Times New Roman" w:eastAsia="仿宋_GB2312" w:cs="Times New Roman"/>
          <w:color w:val="auto"/>
          <w:sz w:val="32"/>
          <w:szCs w:val="32"/>
          <w:lang w:eastAsia="zh-CN"/>
        </w:rPr>
        <w:t>不断加大人员和装备投入，加强基层应急队伍和</w:t>
      </w:r>
      <w:r>
        <w:rPr>
          <w:rFonts w:hint="default" w:ascii="Times New Roman" w:hAnsi="Times New Roman" w:eastAsia="仿宋_GB2312" w:cs="Times New Roman"/>
          <w:color w:val="auto"/>
          <w:sz w:val="32"/>
          <w:szCs w:val="32"/>
          <w:lang w:val="en-US" w:eastAsia="zh-CN"/>
        </w:rPr>
        <w:t>运</w:t>
      </w:r>
      <w:r>
        <w:rPr>
          <w:rFonts w:hint="default" w:ascii="Times New Roman" w:hAnsi="Times New Roman" w:eastAsia="仿宋_GB2312" w:cs="Times New Roman"/>
          <w:color w:val="auto"/>
          <w:sz w:val="32"/>
          <w:szCs w:val="32"/>
          <w:lang w:eastAsia="zh-CN"/>
        </w:rPr>
        <w:t>作机制建设。</w:t>
      </w:r>
      <w:r>
        <w:rPr>
          <w:rFonts w:hint="default" w:ascii="Times New Roman" w:hAnsi="Times New Roman" w:eastAsia="仿宋_GB2312" w:cs="Times New Roman"/>
          <w:color w:val="auto"/>
          <w:sz w:val="32"/>
          <w:szCs w:val="32"/>
        </w:rPr>
        <w:t>完善应急预案体系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镇</w:t>
      </w:r>
      <w:r>
        <w:rPr>
          <w:rFonts w:hint="default" w:ascii="Times New Roman" w:hAnsi="Times New Roman" w:eastAsia="仿宋_GB2312" w:cs="Times New Roman"/>
          <w:color w:val="auto"/>
          <w:sz w:val="32"/>
          <w:szCs w:val="32"/>
        </w:rPr>
        <w:t>应急组织架构明确的基础上，进一步完善形成《</w:t>
      </w:r>
      <w:r>
        <w:rPr>
          <w:rFonts w:hint="default" w:ascii="Times New Roman" w:hAnsi="Times New Roman" w:eastAsia="仿宋_GB2312" w:cs="Times New Roman"/>
          <w:color w:val="auto"/>
          <w:sz w:val="32"/>
          <w:szCs w:val="32"/>
          <w:lang w:val="en-US" w:eastAsia="zh-CN"/>
        </w:rPr>
        <w:t>庙行镇</w:t>
      </w:r>
      <w:r>
        <w:rPr>
          <w:rFonts w:hint="default" w:ascii="Times New Roman" w:hAnsi="Times New Roman" w:eastAsia="仿宋_GB2312" w:cs="Times New Roman"/>
          <w:color w:val="auto"/>
          <w:sz w:val="32"/>
          <w:szCs w:val="32"/>
        </w:rPr>
        <w:t>突发事件总体应急预案》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w:t>
      </w:r>
      <w:r>
        <w:rPr>
          <w:rFonts w:hint="default" w:ascii="Times New Roman" w:hAnsi="Times New Roman" w:eastAsia="仿宋_GB2312" w:cs="Times New Roman"/>
          <w:color w:val="auto"/>
          <w:sz w:val="32"/>
          <w:szCs w:val="32"/>
          <w:lang w:val="en-US" w:eastAsia="zh-CN"/>
        </w:rPr>
        <w:t>村居</w:t>
      </w:r>
      <w:r>
        <w:rPr>
          <w:rFonts w:hint="default" w:ascii="Times New Roman" w:hAnsi="Times New Roman" w:eastAsia="仿宋_GB2312" w:cs="Times New Roman"/>
          <w:sz w:val="32"/>
          <w:szCs w:val="32"/>
        </w:rPr>
        <w:t>结合区域实际和风险特点修编预案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提升基层预案修编和管理能力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做好</w:t>
      </w:r>
      <w:r>
        <w:rPr>
          <w:rFonts w:hint="default" w:ascii="Times New Roman" w:hAnsi="Times New Roman" w:eastAsia="仿宋_GB2312" w:cs="Times New Roman"/>
          <w:sz w:val="32"/>
          <w:szCs w:val="32"/>
        </w:rPr>
        <w:t>预案审核、备案工作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制定应急演练计划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加强应急联动处置演练。</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sz w:val="32"/>
          <w:szCs w:val="32"/>
        </w:rPr>
        <w:t>（十</w:t>
      </w:r>
      <w:r>
        <w:rPr>
          <w:rFonts w:hint="default" w:ascii="Times New Roman" w:hAnsi="Times New Roman" w:eastAsia="楷体_GB2312" w:cs="Times New Roman"/>
          <w:b/>
          <w:sz w:val="32"/>
          <w:szCs w:val="32"/>
          <w:lang w:val="en-US" w:eastAsia="zh-CN"/>
        </w:rPr>
        <w:t>四</w:t>
      </w:r>
      <w:r>
        <w:rPr>
          <w:rFonts w:hint="default" w:ascii="Times New Roman" w:hAnsi="Times New Roman" w:eastAsia="楷体_GB2312" w:cs="Times New Roman"/>
          <w:b/>
          <w:sz w:val="32"/>
          <w:szCs w:val="32"/>
        </w:rPr>
        <w:t>）推动多元共治</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color w:val="auto"/>
          <w:sz w:val="32"/>
          <w:szCs w:val="32"/>
        </w:rPr>
        <w:t>推进安全生产群防群治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推动</w:t>
      </w:r>
      <w:r>
        <w:rPr>
          <w:rFonts w:hint="default" w:ascii="Times New Roman" w:hAnsi="Times New Roman" w:eastAsia="仿宋_GB2312" w:cs="Times New Roman"/>
          <w:color w:val="auto"/>
          <w:sz w:val="32"/>
          <w:szCs w:val="32"/>
          <w:lang w:val="en-US" w:eastAsia="zh-CN"/>
        </w:rPr>
        <w:t>第三方技术服务机构规范化建设，</w:t>
      </w:r>
      <w:r>
        <w:rPr>
          <w:rFonts w:hint="default" w:ascii="Times New Roman" w:hAnsi="Times New Roman" w:eastAsia="仿宋_GB2312" w:cs="Times New Roman"/>
          <w:color w:val="auto"/>
          <w:sz w:val="32"/>
          <w:szCs w:val="32"/>
        </w:rPr>
        <w:t>加强安全评价检测检验机构属地监管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pacing w:val="0"/>
          <w:w w:val="100"/>
          <w:position w:val="0"/>
          <w:sz w:val="32"/>
          <w:szCs w:val="32"/>
        </w:rPr>
        <w:t>继续</w:t>
      </w:r>
      <w:r>
        <w:rPr>
          <w:rFonts w:hint="default" w:ascii="Times New Roman" w:hAnsi="Times New Roman" w:eastAsia="仿宋_GB2312" w:cs="Times New Roman"/>
          <w:color w:val="auto"/>
          <w:spacing w:val="0"/>
          <w:w w:val="100"/>
          <w:position w:val="0"/>
          <w:sz w:val="32"/>
          <w:szCs w:val="32"/>
          <w:lang w:val="en-US" w:eastAsia="zh-CN"/>
        </w:rPr>
        <w:t>组织专家</w:t>
      </w:r>
      <w:r>
        <w:rPr>
          <w:rFonts w:hint="default" w:ascii="Times New Roman" w:hAnsi="Times New Roman" w:eastAsia="仿宋_GB2312" w:cs="Times New Roman"/>
          <w:color w:val="auto"/>
          <w:spacing w:val="0"/>
          <w:w w:val="100"/>
          <w:position w:val="0"/>
          <w:sz w:val="32"/>
          <w:szCs w:val="32"/>
        </w:rPr>
        <w:t>对重点企业开展精准指导服务。</w:t>
      </w:r>
      <w:r>
        <w:rPr>
          <w:rFonts w:hint="default" w:ascii="Times New Roman" w:hAnsi="Times New Roman" w:eastAsia="仿宋_GB2312" w:cs="Times New Roman"/>
          <w:color w:val="auto"/>
          <w:sz w:val="32"/>
          <w:szCs w:val="32"/>
        </w:rPr>
        <w:t>发挥保险机构风险管控和事故预防功能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推动安全生产责任、</w:t>
      </w:r>
      <w:r>
        <w:rPr>
          <w:rFonts w:hint="default" w:ascii="Times New Roman" w:hAnsi="Times New Roman" w:eastAsia="仿宋_GB2312" w:cs="Times New Roman"/>
          <w:color w:val="auto"/>
          <w:sz w:val="32"/>
          <w:szCs w:val="32"/>
          <w:lang w:val="en-US" w:eastAsia="zh-CN"/>
        </w:rPr>
        <w:t>公众责任</w:t>
      </w:r>
      <w:r>
        <w:rPr>
          <w:rFonts w:hint="default" w:ascii="Times New Roman" w:hAnsi="Times New Roman" w:eastAsia="仿宋_GB2312" w:cs="Times New Roman"/>
          <w:color w:val="auto"/>
          <w:sz w:val="32"/>
          <w:szCs w:val="32"/>
        </w:rPr>
        <w:t>保险在不同行业领域的贯彻实施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深入开展安全发展、综合减灾示范创建管理活动。健全落实安全风险“吹哨人”制度和举报机制，鼓励公众、企业职工及其家属利用“随申拍”</w:t>
      </w:r>
      <w:r>
        <w:rPr>
          <w:rFonts w:hint="default" w:ascii="Times New Roman" w:hAnsi="Times New Roman" w:eastAsia="仿宋_GB2312" w:cs="Times New Roman"/>
          <w:color w:val="auto"/>
          <w:sz w:val="32"/>
          <w:szCs w:val="32"/>
          <w:lang w:eastAsia="zh-CN"/>
        </w:rPr>
        <w:t>、“社区通”</w:t>
      </w:r>
      <w:r>
        <w:rPr>
          <w:rFonts w:hint="default" w:ascii="Times New Roman" w:hAnsi="Times New Roman" w:eastAsia="仿宋_GB2312" w:cs="Times New Roman"/>
          <w:color w:val="auto"/>
          <w:sz w:val="32"/>
          <w:szCs w:val="32"/>
        </w:rPr>
        <w:t>等新途径，举报重大事故隐患和安全生产违法</w:t>
      </w:r>
      <w:r>
        <w:rPr>
          <w:rFonts w:hint="default" w:ascii="Times New Roman" w:hAnsi="Times New Roman" w:eastAsia="仿宋_GB2312" w:cs="Times New Roman"/>
          <w:color w:val="auto"/>
          <w:sz w:val="32"/>
          <w:szCs w:val="32"/>
          <w:lang w:val="en-US" w:eastAsia="zh-CN"/>
        </w:rPr>
        <w:t>违规</w:t>
      </w:r>
      <w:r>
        <w:rPr>
          <w:rFonts w:hint="default" w:ascii="Times New Roman" w:hAnsi="Times New Roman" w:eastAsia="仿宋_GB2312" w:cs="Times New Roman"/>
          <w:color w:val="auto"/>
          <w:sz w:val="32"/>
          <w:szCs w:val="32"/>
        </w:rPr>
        <w:t>行为。</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（十</w:t>
      </w:r>
      <w:r>
        <w:rPr>
          <w:rFonts w:hint="default" w:ascii="Times New Roman" w:hAnsi="Times New Roman" w:eastAsia="楷体_GB2312" w:cs="Times New Roman"/>
          <w:b/>
          <w:sz w:val="32"/>
          <w:szCs w:val="32"/>
          <w:lang w:val="en-US" w:eastAsia="zh-CN"/>
        </w:rPr>
        <w:t>五</w:t>
      </w:r>
      <w:r>
        <w:rPr>
          <w:rFonts w:hint="default" w:ascii="Times New Roman" w:hAnsi="Times New Roman" w:eastAsia="楷体_GB2312" w:cs="Times New Roman"/>
          <w:b/>
          <w:sz w:val="32"/>
          <w:szCs w:val="32"/>
        </w:rPr>
        <w:t>）提升安全素质</w:t>
      </w:r>
      <w:r>
        <w:rPr>
          <w:rFonts w:hint="default" w:ascii="Times New Roman" w:hAnsi="Times New Roman" w:eastAsia="楷体_GB2312" w:cs="Times New Roman"/>
          <w:b/>
          <w:sz w:val="32"/>
          <w:szCs w:val="32"/>
          <w:lang w:eastAsia="zh-CN"/>
        </w:rPr>
        <w:t>。</w:t>
      </w:r>
      <w:r>
        <w:rPr>
          <w:rFonts w:hint="default" w:ascii="Times New Roman" w:hAnsi="Times New Roman" w:eastAsia="仿宋_GB2312" w:cs="Times New Roman"/>
          <w:sz w:val="32"/>
          <w:szCs w:val="32"/>
        </w:rPr>
        <w:t>加强安全文化建设，持续做好主题宣传、典型宣传、活动宣传、警示宣传和科普宣传，着力培育安全生产软实力。深入推进“消地结合”安全宣传“五进”活动。结合“安全生产月”“防灾减灾日”、“119”消防宣传月”“全国交通安全日”“安康杯”竞赛、“青年安全生产示范岗”等，落实科普宣教“五进”要求，形成常态化模式。</w:t>
      </w:r>
    </w:p>
    <w:p>
      <w:pPr>
        <w:adjustRightInd w:val="0"/>
        <w:snapToGrid w:val="0"/>
        <w:spacing w:line="480" w:lineRule="exact"/>
        <w:rPr>
          <w:rFonts w:hint="default" w:ascii="Times New Roman" w:hAnsi="Times New Roman" w:eastAsia="仿宋_GB2312" w:cs="Times New Roman"/>
          <w:snapToGrid w:val="0"/>
          <w:kern w:val="0"/>
          <w:sz w:val="32"/>
          <w:szCs w:val="32"/>
        </w:rPr>
      </w:pPr>
    </w:p>
    <w:p>
      <w:pPr>
        <w:pStyle w:val="2"/>
        <w:rPr>
          <w:rFonts w:hint="default"/>
        </w:rPr>
      </w:pPr>
    </w:p>
    <w:p>
      <w:pPr>
        <w:adjustRightInd w:val="0"/>
        <w:snapToGrid w:val="0"/>
        <w:spacing w:line="480" w:lineRule="exact"/>
        <w:rPr>
          <w:rFonts w:hint="default" w:ascii="Times New Roman" w:hAnsi="Times New Roman" w:eastAsia="仿宋_GB2312" w:cs="Times New Roman"/>
          <w:snapToGrid w:val="0"/>
          <w:kern w:val="0"/>
          <w:sz w:val="32"/>
          <w:szCs w:val="32"/>
        </w:rPr>
      </w:pPr>
    </w:p>
    <w:p>
      <w:pPr>
        <w:adjustRightInd w:val="0"/>
        <w:snapToGrid w:val="0"/>
        <w:spacing w:line="480" w:lineRule="exact"/>
        <w:rPr>
          <w:rFonts w:hint="default" w:ascii="Times New Roman" w:hAnsi="Times New Roman" w:eastAsia="仿宋_GB2312" w:cs="Times New Roman"/>
          <w:snapToGrid w:val="0"/>
          <w:kern w:val="0"/>
          <w:sz w:val="32"/>
          <w:szCs w:val="32"/>
        </w:rPr>
      </w:pPr>
    </w:p>
    <w:p>
      <w:pPr>
        <w:adjustRightInd w:val="0"/>
        <w:snapToGrid w:val="0"/>
        <w:spacing w:line="480" w:lineRule="exact"/>
        <w:rPr>
          <w:rFonts w:hint="default" w:ascii="Times New Roman" w:hAnsi="Times New Roman" w:eastAsia="仿宋_GB2312" w:cs="Times New Roman"/>
          <w:snapToGrid w:val="0"/>
          <w:kern w:val="0"/>
          <w:sz w:val="32"/>
          <w:szCs w:val="32"/>
        </w:rPr>
      </w:pPr>
    </w:p>
    <w:p>
      <w:pPr>
        <w:adjustRightInd w:val="0"/>
        <w:snapToGrid w:val="0"/>
        <w:spacing w:line="480" w:lineRule="exact"/>
        <w:rPr>
          <w:rFonts w:hint="default" w:ascii="Times New Roman" w:hAnsi="Times New Roman" w:eastAsia="仿宋_GB2312" w:cs="Times New Roman"/>
          <w:snapToGrid w:val="0"/>
          <w:kern w:val="0"/>
          <w:sz w:val="32"/>
          <w:szCs w:val="32"/>
        </w:rPr>
      </w:pPr>
    </w:p>
    <w:p>
      <w:pPr>
        <w:adjustRightInd w:val="0"/>
        <w:snapToGrid w:val="0"/>
        <w:spacing w:line="480" w:lineRule="exact"/>
        <w:rPr>
          <w:rFonts w:hint="default" w:ascii="Times New Roman" w:hAnsi="Times New Roman" w:eastAsia="仿宋_GB2312" w:cs="Times New Roman"/>
          <w:snapToGrid w:val="0"/>
          <w:kern w:val="0"/>
          <w:sz w:val="32"/>
          <w:szCs w:val="32"/>
        </w:rPr>
      </w:pPr>
      <w:bookmarkStart w:id="1" w:name="_GoBack"/>
      <w:bookmarkEnd w:id="1"/>
    </w:p>
    <w:p>
      <w:pPr>
        <w:adjustRightInd w:val="0"/>
        <w:snapToGrid w:val="0"/>
        <w:spacing w:line="480" w:lineRule="exact"/>
        <w:rPr>
          <w:rFonts w:hint="default" w:ascii="Times New Roman" w:hAnsi="Times New Roman" w:eastAsia="仿宋_GB2312" w:cs="Times New Roman"/>
          <w:snapToGrid w:val="0"/>
          <w:kern w:val="0"/>
          <w:sz w:val="32"/>
          <w:szCs w:val="32"/>
        </w:rPr>
      </w:pPr>
    </w:p>
    <w:p>
      <w:pPr>
        <w:adjustRightInd w:val="0"/>
        <w:snapToGrid w:val="0"/>
        <w:spacing w:line="480" w:lineRule="exact"/>
        <w:rPr>
          <w:rFonts w:hint="default" w:ascii="Times New Roman" w:hAnsi="Times New Roman" w:eastAsia="仿宋_GB2312" w:cs="Times New Roman"/>
          <w:snapToGrid w:val="0"/>
          <w:kern w:val="0"/>
          <w:sz w:val="32"/>
          <w:szCs w:val="32"/>
        </w:rPr>
      </w:pPr>
    </w:p>
    <w:p>
      <w:pPr>
        <w:adjustRightInd w:val="0"/>
        <w:snapToGrid w:val="0"/>
        <w:spacing w:line="480" w:lineRule="exact"/>
        <w:rPr>
          <w:rFonts w:hint="default" w:ascii="Times New Roman" w:hAnsi="Times New Roman" w:eastAsia="仿宋_GB2312" w:cs="Times New Roman"/>
          <w:snapToGrid w:val="0"/>
          <w:kern w:val="0"/>
          <w:sz w:val="32"/>
          <w:szCs w:val="32"/>
        </w:rPr>
      </w:pPr>
    </w:p>
    <w:p>
      <w:pPr>
        <w:adjustRightInd w:val="0"/>
        <w:snapToGrid w:val="0"/>
        <w:spacing w:line="480" w:lineRule="exact"/>
        <w:rPr>
          <w:rFonts w:hint="default" w:ascii="Times New Roman" w:hAnsi="Times New Roman" w:eastAsia="仿宋_GB2312" w:cs="Times New Roman"/>
          <w:snapToGrid w:val="0"/>
          <w:kern w:val="0"/>
          <w:sz w:val="32"/>
          <w:szCs w:val="32"/>
        </w:rPr>
      </w:pPr>
    </w:p>
    <w:p>
      <w:pPr>
        <w:adjustRightInd w:val="0"/>
        <w:snapToGrid w:val="0"/>
        <w:spacing w:line="480" w:lineRule="exact"/>
        <w:rPr>
          <w:rFonts w:hint="default" w:ascii="Times New Roman" w:hAnsi="Times New Roman" w:eastAsia="仿宋_GB2312" w:cs="Times New Roman"/>
          <w:snapToGrid w:val="0"/>
          <w:kern w:val="0"/>
          <w:sz w:val="28"/>
          <w:szCs w:val="28"/>
          <w:u w:val="single"/>
        </w:rPr>
      </w:pPr>
      <w:r>
        <w:rPr>
          <w:rFonts w:hint="default" w:ascii="Times New Roman" w:hAnsi="Times New Roman" w:eastAsia="仿宋_GB2312" w:cs="Times New Roman"/>
          <w:snapToGrid w:val="0"/>
          <w:kern w:val="0"/>
          <w:u w:val="single"/>
        </w:rPr>
        <w:t xml:space="preserve">                                </w:t>
      </w:r>
      <w:r>
        <w:rPr>
          <w:rFonts w:hint="default" w:ascii="Times New Roman" w:hAnsi="Times New Roman" w:eastAsia="黑体" w:cs="Times New Roman"/>
          <w:snapToGrid w:val="0"/>
          <w:kern w:val="0"/>
          <w:u w:val="single"/>
        </w:rPr>
        <w:t xml:space="preserve">                                                               </w:t>
      </w:r>
      <w:r>
        <w:rPr>
          <w:rFonts w:hint="default" w:ascii="Times New Roman" w:hAnsi="Times New Roman" w:eastAsia="仿宋_GB2312" w:cs="Times New Roman"/>
          <w:snapToGrid w:val="0"/>
          <w:kern w:val="0"/>
          <w:sz w:val="28"/>
          <w:szCs w:val="28"/>
          <w:u w:val="single"/>
        </w:rPr>
        <w:t>上海市宝山区庙行镇</w:t>
      </w:r>
      <w:r>
        <w:rPr>
          <w:rFonts w:hint="default" w:ascii="Times New Roman" w:hAnsi="Times New Roman" w:eastAsia="仿宋_GB2312" w:cs="Times New Roman"/>
          <w:snapToGrid w:val="0"/>
          <w:kern w:val="0"/>
          <w:sz w:val="28"/>
          <w:szCs w:val="28"/>
          <w:u w:val="single"/>
          <w:lang w:eastAsia="zh-CN"/>
        </w:rPr>
        <w:t>党政</w:t>
      </w:r>
      <w:r>
        <w:rPr>
          <w:rFonts w:hint="default" w:ascii="Times New Roman" w:hAnsi="Times New Roman" w:eastAsia="仿宋_GB2312" w:cs="Times New Roman"/>
          <w:snapToGrid w:val="0"/>
          <w:kern w:val="0"/>
          <w:sz w:val="28"/>
          <w:szCs w:val="28"/>
          <w:u w:val="single"/>
        </w:rPr>
        <w:t>办公室                20</w:t>
      </w:r>
      <w:r>
        <w:rPr>
          <w:rFonts w:hint="default" w:ascii="Times New Roman" w:hAnsi="Times New Roman" w:eastAsia="仿宋_GB2312" w:cs="Times New Roman"/>
          <w:snapToGrid w:val="0"/>
          <w:kern w:val="0"/>
          <w:sz w:val="28"/>
          <w:szCs w:val="28"/>
          <w:u w:val="single"/>
          <w:lang w:val="en-US" w:eastAsia="zh-CN"/>
        </w:rPr>
        <w:t>22</w:t>
      </w:r>
      <w:r>
        <w:rPr>
          <w:rFonts w:hint="default" w:ascii="Times New Roman" w:hAnsi="Times New Roman" w:eastAsia="仿宋_GB2312" w:cs="Times New Roman"/>
          <w:snapToGrid w:val="0"/>
          <w:kern w:val="0"/>
          <w:sz w:val="28"/>
          <w:szCs w:val="28"/>
          <w:u w:val="single"/>
        </w:rPr>
        <w:t>年</w:t>
      </w:r>
      <w:r>
        <w:rPr>
          <w:rFonts w:hint="eastAsia" w:ascii="Times New Roman" w:hAnsi="Times New Roman" w:eastAsia="仿宋_GB2312" w:cs="Times New Roman"/>
          <w:snapToGrid w:val="0"/>
          <w:kern w:val="0"/>
          <w:sz w:val="28"/>
          <w:szCs w:val="28"/>
          <w:u w:val="single"/>
          <w:lang w:val="en-US" w:eastAsia="zh-CN"/>
        </w:rPr>
        <w:t>8</w:t>
      </w:r>
      <w:r>
        <w:rPr>
          <w:rFonts w:hint="default" w:ascii="Times New Roman" w:hAnsi="Times New Roman" w:eastAsia="仿宋_GB2312" w:cs="Times New Roman"/>
          <w:snapToGrid w:val="0"/>
          <w:kern w:val="0"/>
          <w:sz w:val="28"/>
          <w:szCs w:val="28"/>
          <w:u w:val="single"/>
        </w:rPr>
        <w:t>月</w:t>
      </w:r>
      <w:r>
        <w:rPr>
          <w:rFonts w:hint="eastAsia" w:ascii="Times New Roman" w:hAnsi="Times New Roman" w:eastAsia="仿宋_GB2312" w:cs="Times New Roman"/>
          <w:snapToGrid w:val="0"/>
          <w:kern w:val="0"/>
          <w:sz w:val="28"/>
          <w:szCs w:val="28"/>
          <w:u w:val="single"/>
          <w:lang w:val="en-US" w:eastAsia="zh-CN"/>
        </w:rPr>
        <w:t>10</w:t>
      </w:r>
      <w:r>
        <w:rPr>
          <w:rFonts w:hint="default" w:ascii="Times New Roman" w:hAnsi="Times New Roman" w:eastAsia="仿宋_GB2312" w:cs="Times New Roman"/>
          <w:snapToGrid w:val="0"/>
          <w:kern w:val="0"/>
          <w:sz w:val="28"/>
          <w:szCs w:val="28"/>
          <w:u w:val="single"/>
        </w:rPr>
        <w:t xml:space="preserve">日印发  </w:t>
      </w:r>
    </w:p>
    <w:sectPr>
      <w:footerReference r:id="rId5" w:type="default"/>
      <w:pgSz w:w="11907" w:h="16840"/>
      <w:pgMar w:top="2098" w:right="1587" w:bottom="1871"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p>
                </w:txbxContent>
              </v:textbox>
            </v:shape>
          </w:pict>
        </mc:Fallback>
      </mc:AlternateContent>
    </w:r>
    <w:sdt>
      <w:sdtPr>
        <w:id w:val="10129476"/>
        <w:showingPlcHdr/>
        <w:docPartObj>
          <w:docPartGallery w:val="autotext"/>
        </w:docPartObj>
      </w:sdt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349885" cy="2724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349885" cy="2724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45pt;width:27.55pt;mso-position-horizontal:outside;mso-position-horizontal-relative:margin;z-index:251661312;mso-width-relative:page;mso-height-relative:page;" filled="f" stroked="f" coordsize="21600,21600" o:gfxdata="UEsDBAoAAAAAAIdO4kAAAAAAAAAAAAAAAAAEAAAAZHJzL1BLAwQUAAAACACHTuJAKFmjp9MAAAAF&#10;AQAADwAAAGRycy9kb3ducmV2LnhtbE2PO0/EMBCEeyT+g7VIdJydEwoQ4lzBo+N5gASdEy9JhL2O&#10;bCd3/HuWCsrRjGa+qTd778SCMY2BNBQrBQKpC3akXsPry+3JOYiUDVnjAqGGb0ywaQ4PalPZsKNn&#10;XLa5F1xCqTIahpynSsrUDehNWoUJib3PEL3JLGMvbTQ7LvdOrpUqpTcj8cJgJrwasPvazl6De0/x&#10;rlX5Y7nu7/PTo5zfbooHrY+PCnUJIuM+/4XhF5/RoWGmNsxkk3CsizNOauBD7JYl/2g1nK4vQDa1&#10;/E/f/ABQSwMEFAAAAAgAh07iQEgknKPiAgAAJAYAAA4AAABkcnMvZTJvRG9jLnhtbK1UzY7TMBC+&#10;I/EOlu/ZJN30J9WmqNtsEFLFrrQgzq7jNBaObWz3Z0Fc4Q04ceHOc+1zME6a7g8IrQQ9pGN7/M18&#10;34zn7MW+EWjLjOVKZjg+iTBikqqSy3WG374pgglG1hFZEqEky/ANs/jF7Pmzs52esoGqlSiZQQAi&#10;7XSnM1w7p6dhaGnNGmJPlGYSDitlGuJgadZhacgO0BsRDqJoFO6UKbVRlFkLu3l3iA+I5imAqqo4&#10;Zbmim4ZJ16EaJogDSrbm2uJZm21VMeouq8oyh0SGgalrvxAE7JX/hrMzMl0bomtODymQp6TwiFND&#10;uISgR6icOII2hv8G1XBqlFWVO6GqCTsirSLAIo4eaXNdE81aLiC11UfR7f+Dpa+3VwbxMsMjjCRp&#10;oOC3377efv95++MLGnl5dtpOwetag5/bn6s9NE2/b2HTs95XpvH/wAfBOYh7cxSX7R2isHmapJPJ&#10;ECMKR4PxIImHHiW8u6yNdS+ZapA3Mmygdq2kZLu0rnPtXXwsqQouRFs/IdEOCJwOo/bC8QTAhfS+&#10;kANgHKyuLp/SKL2YXEySIBmMLoIkyvNgXiySYFTE42F+mi8WefzZ48XJtOZlyaSP1/dInDytBoc+&#10;6ap77BKrBC89nE/JmvVqIQzaEujRov0dlLnnFj5MoxUOWD2iFA+S6HyQBsVoMg6SIhkG6TiaBFGc&#10;nqejKEmTvHhIackl+3dKD9S/lzSZ+oIdua0Eoe//Ss2nc0cNytcXLvRd2HWbt9x+tT+05kqVN9CZ&#10;RnVP22pacAi6JNZdEQNvGZoRpp27hE8lFPSJOlgY1cp8/NO+94fywilGO5gNGbYfNsQwjMQrCY/P&#10;D5LeML2x6g25aRYKShnDHNW0NeGCcaI3K6OadzAE5z4KHBFJIVaGXW8uXDehYIhSNp+3Thtt+Lru&#10;LsDo0MQt5bWmPoxvAqnmG6cq3j4UL1GnC4jpFzA8WlkPg85Pp/vr1utuuM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ChZo6fTAAAABQEAAA8AAAAAAAAAAQAgAAAAIgAAAGRycy9kb3ducmV2Lnht&#10;bFBLAQIUABQAAAAIAIdO4kBIJJyj4gIAACQGAAAOAAAAAAAAAAEAIAAAACIBAABkcnMvZTJvRG9j&#10;LnhtbFBLBQYAAAAABgAGAFkBAAB2BgAAAAA=&#10;">
              <v:fill on="f" focussize="0,0"/>
              <v:stroke on="f" weight="0.5pt"/>
              <v:imagedata o:title=""/>
              <o:lock v:ext="edit" aspectratio="f"/>
              <v:textbox inset="0mm,0mm,0mm,0mm">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ODNjNzhkZjZmZDY1MmU2MTU4YzRlNGJhMTVjN2UifQ=="/>
  </w:docVars>
  <w:rsids>
    <w:rsidRoot w:val="00B7224E"/>
    <w:rsid w:val="00043711"/>
    <w:rsid w:val="000679C6"/>
    <w:rsid w:val="000D32D8"/>
    <w:rsid w:val="00135AE1"/>
    <w:rsid w:val="00151D76"/>
    <w:rsid w:val="002B1889"/>
    <w:rsid w:val="002B4BAC"/>
    <w:rsid w:val="002E368D"/>
    <w:rsid w:val="002F1375"/>
    <w:rsid w:val="002F67B9"/>
    <w:rsid w:val="0030548F"/>
    <w:rsid w:val="003A2EF8"/>
    <w:rsid w:val="003A71B5"/>
    <w:rsid w:val="003C7917"/>
    <w:rsid w:val="003E03AF"/>
    <w:rsid w:val="003F781A"/>
    <w:rsid w:val="00453A55"/>
    <w:rsid w:val="004646F8"/>
    <w:rsid w:val="00472C5E"/>
    <w:rsid w:val="00474D03"/>
    <w:rsid w:val="004B0C3A"/>
    <w:rsid w:val="004B3860"/>
    <w:rsid w:val="004F4541"/>
    <w:rsid w:val="004F4A9B"/>
    <w:rsid w:val="00504BB2"/>
    <w:rsid w:val="005503F5"/>
    <w:rsid w:val="00574745"/>
    <w:rsid w:val="005B6D5C"/>
    <w:rsid w:val="005D601D"/>
    <w:rsid w:val="0064407D"/>
    <w:rsid w:val="00665E70"/>
    <w:rsid w:val="00671D94"/>
    <w:rsid w:val="00673BFB"/>
    <w:rsid w:val="00674847"/>
    <w:rsid w:val="006A3317"/>
    <w:rsid w:val="00723982"/>
    <w:rsid w:val="007968C2"/>
    <w:rsid w:val="007A02FE"/>
    <w:rsid w:val="007A087A"/>
    <w:rsid w:val="008135FC"/>
    <w:rsid w:val="00834D62"/>
    <w:rsid w:val="008B6B85"/>
    <w:rsid w:val="008C6E69"/>
    <w:rsid w:val="00911726"/>
    <w:rsid w:val="00912F28"/>
    <w:rsid w:val="00964416"/>
    <w:rsid w:val="009F1F0C"/>
    <w:rsid w:val="00A006EB"/>
    <w:rsid w:val="00A21940"/>
    <w:rsid w:val="00A46D5D"/>
    <w:rsid w:val="00AF3879"/>
    <w:rsid w:val="00B048E8"/>
    <w:rsid w:val="00B7224E"/>
    <w:rsid w:val="00B96274"/>
    <w:rsid w:val="00BA78EA"/>
    <w:rsid w:val="00BC12D4"/>
    <w:rsid w:val="00BD7F77"/>
    <w:rsid w:val="00BE263B"/>
    <w:rsid w:val="00C2266F"/>
    <w:rsid w:val="00C53666"/>
    <w:rsid w:val="00CA4FAB"/>
    <w:rsid w:val="00CC27A9"/>
    <w:rsid w:val="00CC5C83"/>
    <w:rsid w:val="00CD0979"/>
    <w:rsid w:val="00CD316A"/>
    <w:rsid w:val="00CD6C60"/>
    <w:rsid w:val="00CE3A51"/>
    <w:rsid w:val="00D968A4"/>
    <w:rsid w:val="00DA7B0E"/>
    <w:rsid w:val="00DB6872"/>
    <w:rsid w:val="00E0735A"/>
    <w:rsid w:val="00E21F4A"/>
    <w:rsid w:val="00E35833"/>
    <w:rsid w:val="00EA5EA2"/>
    <w:rsid w:val="00EE7DDE"/>
    <w:rsid w:val="00F050B4"/>
    <w:rsid w:val="00F12A0F"/>
    <w:rsid w:val="00F16FBF"/>
    <w:rsid w:val="00F36E4F"/>
    <w:rsid w:val="00FE03B9"/>
    <w:rsid w:val="02894204"/>
    <w:rsid w:val="04AF55D0"/>
    <w:rsid w:val="07973634"/>
    <w:rsid w:val="106C57FF"/>
    <w:rsid w:val="1B9276A3"/>
    <w:rsid w:val="3FBE5A6B"/>
    <w:rsid w:val="4EAB386E"/>
    <w:rsid w:val="5853669F"/>
    <w:rsid w:val="59FC3805"/>
    <w:rsid w:val="5C4B1880"/>
    <w:rsid w:val="6B330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1"/>
    <w:pPr>
      <w:ind w:left="311" w:hanging="2420"/>
      <w:outlineLvl w:val="0"/>
    </w:pPr>
    <w:rPr>
      <w:rFonts w:ascii="方正小标宋简体" w:hAnsi="方正小标宋简体" w:eastAsia="方正小标宋简体" w:cs="方正小标宋简体"/>
      <w:sz w:val="44"/>
      <w:szCs w:val="44"/>
      <w:lang w:val="zh-CN" w:bidi="zh-CN"/>
    </w:rPr>
  </w:style>
  <w:style w:type="paragraph" w:styleId="5">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unhideWhenUsed/>
    <w:qFormat/>
    <w:uiPriority w:val="99"/>
    <w:pPr>
      <w:spacing w:after="120" w:line="480" w:lineRule="auto"/>
    </w:pPr>
  </w:style>
  <w:style w:type="paragraph" w:styleId="3">
    <w:name w:val="Body Text First Indent 2"/>
    <w:unhideWhenUsed/>
    <w:qFormat/>
    <w:uiPriority w:val="99"/>
    <w:pPr>
      <w:widowControl w:val="0"/>
      <w:spacing w:after="120"/>
      <w:ind w:left="420" w:leftChars="200" w:firstLine="420" w:firstLineChars="225"/>
      <w:jc w:val="both"/>
    </w:pPr>
    <w:rPr>
      <w:rFonts w:ascii="Calibri" w:hAnsi="Calibri" w:eastAsia="宋体" w:cs="Times New Roman"/>
      <w:kern w:val="2"/>
      <w:sz w:val="21"/>
      <w:szCs w:val="22"/>
      <w:lang w:val="en-US" w:eastAsia="zh-CN" w:bidi="ar-SA"/>
    </w:rPr>
  </w:style>
  <w:style w:type="paragraph" w:styleId="6">
    <w:name w:val="Date"/>
    <w:basedOn w:val="1"/>
    <w:next w:val="1"/>
    <w:link w:val="13"/>
    <w:semiHidden/>
    <w:unhideWhenUsed/>
    <w:qFormat/>
    <w:uiPriority w:val="99"/>
    <w:pPr>
      <w:ind w:left="100" w:leftChars="2500"/>
    </w:p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semiHidden/>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日期 Char"/>
    <w:basedOn w:val="10"/>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9EC82-7D08-4A62-830B-D024329430E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206</Words>
  <Characters>218</Characters>
  <Lines>3</Lines>
  <Paragraphs>1</Paragraphs>
  <TotalTime>7</TotalTime>
  <ScaleCrop>false</ScaleCrop>
  <LinksUpToDate>false</LinksUpToDate>
  <CharactersWithSpaces>432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2020-09-16T03:24:00Z</dcterms:created>
  <dc:creator>Administrator</dc:creator>
  <cp:lastModifiedBy>Administrator</cp:lastModifiedBy>
  <cp:lastPrinted>2022-08-11T03:15:58Z</cp:lastPrinted>
  <dcterms:modified xsi:type="dcterms:W3CDTF">2022-08-11T03:16:53Z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E25FD19145A44C73AB93D16560E633FC</vt:lpwstr>
  </property>
</Properties>
</file>