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b/>
          <w:sz w:val="44"/>
          <w:szCs w:val="44"/>
        </w:rPr>
      </w:pPr>
      <w:bookmarkStart w:id="0" w:name="_GoBack"/>
      <w:bookmarkEnd w:id="0"/>
      <w:r>
        <w:rPr>
          <w:rFonts w:hint="eastAsia" w:ascii="华文中宋" w:hAnsi="华文中宋" w:eastAsia="华文中宋"/>
          <w:b/>
          <w:sz w:val="44"/>
          <w:szCs w:val="44"/>
        </w:rPr>
        <w:t>友谊路街道</w:t>
      </w:r>
    </w:p>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数字街区建设方案（</w:t>
      </w:r>
      <w:r>
        <w:rPr>
          <w:rFonts w:ascii="华文中宋" w:hAnsi="华文中宋" w:eastAsia="华文中宋"/>
          <w:b/>
          <w:sz w:val="44"/>
          <w:szCs w:val="44"/>
        </w:rPr>
        <w:t>2021-2023</w:t>
      </w:r>
      <w:r>
        <w:rPr>
          <w:rFonts w:hint="eastAsia" w:ascii="华文中宋" w:hAnsi="华文中宋" w:eastAsia="华文中宋"/>
          <w:b/>
          <w:sz w:val="44"/>
          <w:szCs w:val="44"/>
        </w:rPr>
        <w:t>年）</w:t>
      </w:r>
    </w:p>
    <w:p>
      <w:pPr>
        <w:spacing w:line="560" w:lineRule="exact"/>
        <w:ind w:firstLine="640" w:firstLineChars="200"/>
        <w:rPr>
          <w:rFonts w:ascii="仿宋_GB2312" w:hAnsi="微软雅黑" w:eastAsia="仿宋_GB2312" w:cs="宋体"/>
          <w:kern w:val="0"/>
          <w:sz w:val="32"/>
          <w:szCs w:val="24"/>
        </w:rPr>
      </w:pPr>
    </w:p>
    <w:p>
      <w:pPr>
        <w:spacing w:line="560" w:lineRule="exact"/>
        <w:ind w:firstLine="640" w:firstLineChars="200"/>
        <w:rPr>
          <w:rFonts w:ascii="黑体" w:hAnsi="黑体" w:eastAsia="黑体"/>
          <w:sz w:val="32"/>
          <w:szCs w:val="32"/>
        </w:rPr>
      </w:pPr>
      <w:r>
        <w:rPr>
          <w:rFonts w:hint="eastAsia" w:ascii="仿宋_GB2312" w:hAnsi="微软雅黑" w:eastAsia="仿宋_GB2312" w:cs="宋体"/>
          <w:kern w:val="0"/>
          <w:sz w:val="32"/>
          <w:szCs w:val="24"/>
        </w:rPr>
        <w:t>为全面贯彻落实上海城市数字化转型决策部署，聚焦聚力高质量发展、软实力提升、现代化先行，根据《宝山区推进城市数字化转型三年行动计划》，围绕“双核五圈”建设要求，特制定本方案。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一、总体目标</w:t>
      </w:r>
    </w:p>
    <w:p>
      <w:pPr>
        <w:spacing w:line="560" w:lineRule="exact"/>
        <w:ind w:firstLine="640" w:firstLineChars="200"/>
        <w:rPr>
          <w:rFonts w:ascii="仿宋_GB2312" w:hAnsi="微软雅黑" w:eastAsia="仿宋_GB2312" w:cs="宋体"/>
          <w:kern w:val="0"/>
          <w:sz w:val="32"/>
          <w:szCs w:val="24"/>
        </w:rPr>
      </w:pPr>
      <w:r>
        <w:rPr>
          <w:rFonts w:hint="eastAsia" w:ascii="仿宋_GB2312" w:hAnsi="微软雅黑" w:eastAsia="仿宋_GB2312" w:cs="宋体"/>
          <w:kern w:val="0"/>
          <w:sz w:val="32"/>
          <w:szCs w:val="24"/>
        </w:rPr>
        <w:t>准确把握城市数字化转型内涵和关键，街道以建设</w:t>
      </w:r>
      <w:r>
        <w:rPr>
          <w:rFonts w:hint="eastAsia" w:ascii="黑体" w:hAnsi="黑体" w:eastAsia="黑体" w:cs="宋体"/>
          <w:kern w:val="0"/>
          <w:sz w:val="32"/>
          <w:szCs w:val="24"/>
        </w:rPr>
        <w:t>“一个数据中心</w:t>
      </w:r>
      <w:r>
        <w:rPr>
          <w:rStyle w:val="8"/>
          <w:rFonts w:ascii="黑体" w:hAnsi="黑体" w:eastAsia="黑体" w:cs="宋体"/>
          <w:kern w:val="0"/>
          <w:sz w:val="32"/>
          <w:szCs w:val="24"/>
        </w:rPr>
        <w:footnoteReference w:id="0"/>
      </w:r>
      <w:r>
        <w:rPr>
          <w:rFonts w:hint="eastAsia" w:ascii="黑体" w:hAnsi="黑体" w:eastAsia="黑体" w:cs="宋体"/>
          <w:kern w:val="0"/>
          <w:sz w:val="32"/>
          <w:szCs w:val="24"/>
        </w:rPr>
        <w:t>，聚焦生活、治理、经济三领域，开发</w:t>
      </w:r>
      <w:r>
        <w:rPr>
          <w:rFonts w:ascii="Times New Roman" w:hAnsi="Times New Roman" w:eastAsia="仿宋_GB2312"/>
          <w:kern w:val="0"/>
          <w:sz w:val="32"/>
          <w:szCs w:val="24"/>
        </w:rPr>
        <w:t>N</w:t>
      </w:r>
      <w:r>
        <w:rPr>
          <w:rFonts w:hint="eastAsia" w:ascii="黑体" w:hAnsi="黑体" w:eastAsia="黑体"/>
          <w:kern w:val="0"/>
          <w:sz w:val="32"/>
          <w:szCs w:val="24"/>
        </w:rPr>
        <w:t>个应用</w:t>
      </w:r>
      <w:r>
        <w:rPr>
          <w:rFonts w:hint="eastAsia" w:ascii="黑体" w:hAnsi="黑体" w:eastAsia="黑体" w:cs="宋体"/>
          <w:kern w:val="0"/>
          <w:sz w:val="32"/>
          <w:szCs w:val="24"/>
        </w:rPr>
        <w:t>场景”</w:t>
      </w:r>
      <w:r>
        <w:rPr>
          <w:rFonts w:hint="eastAsia" w:ascii="仿宋_GB2312" w:hAnsi="微软雅黑" w:eastAsia="仿宋_GB2312" w:cs="宋体"/>
          <w:kern w:val="0"/>
          <w:sz w:val="32"/>
          <w:szCs w:val="24"/>
        </w:rPr>
        <w:t>为总体架构，以打造</w:t>
      </w:r>
      <w:r>
        <w:rPr>
          <w:rFonts w:hint="eastAsia" w:ascii="黑体" w:hAnsi="黑体" w:eastAsia="黑体" w:cs="宋体"/>
          <w:kern w:val="0"/>
          <w:sz w:val="32"/>
          <w:szCs w:val="24"/>
        </w:rPr>
        <w:t>智慧长滩街区</w:t>
      </w:r>
      <w:r>
        <w:rPr>
          <w:rFonts w:hint="eastAsia" w:ascii="仿宋_GB2312" w:hAnsi="微软雅黑" w:eastAsia="仿宋_GB2312" w:cs="宋体"/>
          <w:kern w:val="0"/>
          <w:sz w:val="32"/>
          <w:szCs w:val="24"/>
        </w:rPr>
        <w:t>为首发目标，以点带面，分步实施，开展三年行动计划，确保</w:t>
      </w:r>
      <w:r>
        <w:rPr>
          <w:rFonts w:ascii="Times New Roman" w:hAnsi="Times New Roman" w:eastAsia="仿宋_GB2312"/>
          <w:kern w:val="0"/>
          <w:sz w:val="32"/>
          <w:szCs w:val="24"/>
        </w:rPr>
        <w:t>2021</w:t>
      </w:r>
      <w:r>
        <w:rPr>
          <w:rFonts w:hint="eastAsia" w:ascii="仿宋_GB2312" w:hAnsi="微软雅黑" w:eastAsia="仿宋_GB2312" w:cs="宋体"/>
          <w:kern w:val="0"/>
          <w:sz w:val="32"/>
          <w:szCs w:val="24"/>
        </w:rPr>
        <w:t>年框架基本形成，确保数字化转型项目实战管用、基层爱用、群众受用，把友谊路街道打造成为宝山区乃至上海市数字化转型标杆街道。</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二、主要内容</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（一）数字生活</w:t>
      </w:r>
    </w:p>
    <w:p>
      <w:pPr>
        <w:spacing w:line="560" w:lineRule="exact"/>
        <w:ind w:firstLine="643" w:firstLineChars="200"/>
        <w:rPr>
          <w:rFonts w:ascii="仿宋_GB2312" w:eastAsia="仿宋_GB2312"/>
          <w:bCs/>
          <w:sz w:val="32"/>
          <w:szCs w:val="32"/>
        </w:rPr>
      </w:pPr>
      <w:r>
        <w:rPr>
          <w:rFonts w:ascii="仿宋_GB2312" w:eastAsia="仿宋_GB2312"/>
          <w:b/>
          <w:sz w:val="32"/>
          <w:szCs w:val="32"/>
        </w:rPr>
        <w:t>1.</w:t>
      </w:r>
      <w:r>
        <w:rPr>
          <w:rFonts w:hint="eastAsia" w:ascii="仿宋_GB2312" w:eastAsia="仿宋_GB2312"/>
          <w:b/>
          <w:sz w:val="32"/>
          <w:szCs w:val="32"/>
        </w:rPr>
        <w:t>智慧公共客厅</w:t>
      </w:r>
      <w:r>
        <w:rPr>
          <w:rFonts w:hint="eastAsia" w:ascii="仿宋_GB2312" w:eastAsia="仿宋_GB2312"/>
          <w:b/>
          <w:bCs/>
          <w:sz w:val="32"/>
          <w:szCs w:val="32"/>
        </w:rPr>
        <w:t>。</w:t>
      </w:r>
      <w:r>
        <w:rPr>
          <w:rFonts w:hint="eastAsia" w:ascii="仿宋_GB2312" w:eastAsia="仿宋_GB2312"/>
          <w:bCs/>
          <w:sz w:val="32"/>
          <w:szCs w:val="32"/>
        </w:rPr>
        <w:t>以“聚谊家”长滩数字化为目标，利用数字孪生技术，推动各项生活服务、社交场景、自治共治项目“上网入云”，让百姓足不出户体验公共服务的便捷性。开发虚拟</w:t>
      </w:r>
      <w:r>
        <w:rPr>
          <w:rFonts w:ascii="Times New Roman" w:hAnsi="Times New Roman" w:eastAsia="仿宋_GB2312"/>
          <w:bCs/>
          <w:sz w:val="32"/>
          <w:szCs w:val="32"/>
        </w:rPr>
        <w:t>VR</w:t>
      </w:r>
      <w:r>
        <w:rPr>
          <w:rFonts w:hint="eastAsia" w:ascii="仿宋_GB2312" w:eastAsia="仿宋_GB2312"/>
          <w:bCs/>
          <w:sz w:val="32"/>
          <w:szCs w:val="32"/>
        </w:rPr>
        <w:t>场景</w:t>
      </w:r>
      <w:r>
        <w:rPr>
          <w:rFonts w:ascii="仿宋_GB2312" w:eastAsia="仿宋_GB2312"/>
          <w:bCs/>
          <w:sz w:val="32"/>
          <w:szCs w:val="32"/>
        </w:rPr>
        <w:t>,</w:t>
      </w:r>
      <w:r>
        <w:rPr>
          <w:rFonts w:hint="eastAsia" w:ascii="仿宋_GB2312" w:hAnsi="Times New Roman" w:eastAsia="仿宋_GB2312"/>
          <w:sz w:val="32"/>
          <w:szCs w:val="32"/>
        </w:rPr>
        <w:t>打造集党群服务、文化艺术、教育培训、健康保健、娱乐休闲等功能为一体，覆盖社区老年、青年、儿童所需的数字化虚拟社区生活空间。</w:t>
      </w:r>
      <w:r>
        <w:rPr>
          <w:rFonts w:hint="eastAsia" w:ascii="楷体_GB2312" w:eastAsia="楷体_GB2312"/>
          <w:bCs/>
          <w:sz w:val="32"/>
          <w:szCs w:val="32"/>
        </w:rPr>
        <w:t>（责任部门：社区自治办、社区党群服务中心、长滩居委。完成时间：</w:t>
      </w:r>
      <w:r>
        <w:rPr>
          <w:rFonts w:ascii="楷体_GB2312" w:eastAsia="楷体_GB2312"/>
          <w:bCs/>
          <w:sz w:val="32"/>
          <w:szCs w:val="32"/>
        </w:rPr>
        <w:t>2021</w:t>
      </w:r>
      <w:r>
        <w:rPr>
          <w:rFonts w:hint="eastAsia" w:ascii="楷体_GB2312" w:eastAsia="楷体_GB2312"/>
          <w:bCs/>
          <w:sz w:val="32"/>
          <w:szCs w:val="32"/>
        </w:rPr>
        <w:t>年</w:t>
      </w:r>
      <w:r>
        <w:rPr>
          <w:rFonts w:ascii="楷体_GB2312" w:eastAsia="楷体_GB2312"/>
          <w:bCs/>
          <w:sz w:val="32"/>
          <w:szCs w:val="32"/>
        </w:rPr>
        <w:t>10</w:t>
      </w:r>
      <w:r>
        <w:rPr>
          <w:rFonts w:hint="eastAsia" w:ascii="楷体_GB2312" w:eastAsia="楷体_GB2312"/>
          <w:bCs/>
          <w:sz w:val="32"/>
          <w:szCs w:val="32"/>
        </w:rPr>
        <w:t>月）</w:t>
      </w:r>
    </w:p>
    <w:p>
      <w:pPr>
        <w:spacing w:line="560" w:lineRule="exac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智慧生活。</w:t>
      </w:r>
      <w:r>
        <w:rPr>
          <w:rFonts w:hint="eastAsia" w:ascii="仿宋_GB2312" w:eastAsia="仿宋_GB2312"/>
          <w:sz w:val="32"/>
          <w:szCs w:val="32"/>
        </w:rPr>
        <w:t>对接群众美好需求，以构建线上数字“</w:t>
      </w:r>
      <w:r>
        <w:rPr>
          <w:rFonts w:ascii="Times New Roman" w:hAnsi="Times New Roman" w:eastAsia="仿宋_GB2312"/>
          <w:sz w:val="32"/>
          <w:szCs w:val="32"/>
        </w:rPr>
        <w:t>15</w:t>
      </w:r>
      <w:r>
        <w:rPr>
          <w:rFonts w:hint="eastAsia" w:ascii="仿宋_GB2312" w:eastAsia="仿宋_GB2312"/>
          <w:sz w:val="32"/>
          <w:szCs w:val="32"/>
        </w:rPr>
        <w:t>分钟社区生活圈”为目标，开发建设</w:t>
      </w:r>
      <w:r>
        <w:rPr>
          <w:rFonts w:hint="eastAsia" w:ascii="仿宋_GB2312" w:eastAsia="仿宋_GB2312"/>
          <w:b/>
          <w:sz w:val="32"/>
          <w:szCs w:val="32"/>
        </w:rPr>
        <w:t>“数智长滩”</w:t>
      </w:r>
      <w:r>
        <w:rPr>
          <w:rFonts w:hint="eastAsia" w:ascii="仿宋_GB2312" w:eastAsia="仿宋_GB2312"/>
          <w:sz w:val="32"/>
          <w:szCs w:val="32"/>
        </w:rPr>
        <w:t>微信小程序，集聚社区内及周边各种服务资源，实现公共活动空间场馆预约、线上专家门诊预约、智能管控不文明遛犬行为、智能垃圾分类系统、社区活动报名、社区团购、社区信息动态查询、社区停车登记、缴费、周边商圈资讯、家政服务、心理咨询、法律咨询、为老服务、社区便民地图、社区意见征询等十余项便民、休闲、娱乐事项的查询预约服务功能，让社区居民轻松享受安全、便捷、幸福的智慧生活。</w:t>
      </w:r>
      <w:r>
        <w:rPr>
          <w:rFonts w:hint="eastAsia" w:ascii="楷体_GB2312" w:eastAsia="楷体_GB2312"/>
          <w:bCs/>
          <w:sz w:val="32"/>
          <w:szCs w:val="32"/>
        </w:rPr>
        <w:t>（责任部门：社区自治办、党政办（应急管理办）、社区党群服务中心、长滩居委。完成时间：</w:t>
      </w:r>
      <w:r>
        <w:rPr>
          <w:rFonts w:ascii="楷体_GB2312" w:eastAsia="楷体_GB2312"/>
          <w:bCs/>
          <w:sz w:val="32"/>
          <w:szCs w:val="32"/>
        </w:rPr>
        <w:t>2021</w:t>
      </w:r>
      <w:r>
        <w:rPr>
          <w:rFonts w:hint="eastAsia" w:ascii="楷体_GB2312" w:eastAsia="楷体_GB2312"/>
          <w:bCs/>
          <w:sz w:val="32"/>
          <w:szCs w:val="32"/>
        </w:rPr>
        <w:t>年</w:t>
      </w:r>
      <w:r>
        <w:rPr>
          <w:rFonts w:ascii="楷体_GB2312" w:eastAsia="楷体_GB2312"/>
          <w:bCs/>
          <w:sz w:val="32"/>
          <w:szCs w:val="32"/>
        </w:rPr>
        <w:t>10</w:t>
      </w:r>
      <w:r>
        <w:rPr>
          <w:rFonts w:hint="eastAsia" w:ascii="楷体_GB2312" w:eastAsia="楷体_GB2312"/>
          <w:bCs/>
          <w:sz w:val="32"/>
          <w:szCs w:val="32"/>
        </w:rPr>
        <w:t>月）</w:t>
      </w:r>
    </w:p>
    <w:p>
      <w:pPr>
        <w:spacing w:line="560" w:lineRule="exact"/>
        <w:ind w:firstLine="643" w:firstLineChars="200"/>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智慧早餐。</w:t>
      </w:r>
      <w:r>
        <w:rPr>
          <w:rFonts w:hint="eastAsia" w:ascii="仿宋_GB2312" w:eastAsia="仿宋_GB2312"/>
          <w:sz w:val="32"/>
          <w:szCs w:val="32"/>
        </w:rPr>
        <w:t>结合早餐工程民生实事项目，在网订柜取、流动早餐车等基础上，进一步探索实施数字化赋能，大力发展“无人零售</w:t>
      </w:r>
      <w:r>
        <w:rPr>
          <w:rFonts w:ascii="仿宋_GB2312" w:eastAsia="仿宋_GB2312"/>
          <w:sz w:val="32"/>
          <w:szCs w:val="32"/>
        </w:rPr>
        <w:t>+</w:t>
      </w:r>
      <w:r>
        <w:rPr>
          <w:rFonts w:hint="eastAsia" w:ascii="仿宋_GB2312" w:eastAsia="仿宋_GB2312"/>
          <w:sz w:val="32"/>
          <w:szCs w:val="32"/>
        </w:rPr>
        <w:t>智慧早餐”模式，引进早餐自助售卖机、无人取货柜等设备，提升早餐服务品质，让百姓享受经济、便捷的早餐体验，有更多获得感和幸福感。</w:t>
      </w:r>
      <w:r>
        <w:rPr>
          <w:rFonts w:hint="eastAsia" w:ascii="楷体_GB2312" w:eastAsia="楷体_GB2312"/>
          <w:bCs/>
          <w:sz w:val="32"/>
          <w:szCs w:val="32"/>
        </w:rPr>
        <w:t>（责任部门：营商环境办（财务管理办）。完成时间：</w:t>
      </w:r>
      <w:r>
        <w:rPr>
          <w:rFonts w:ascii="楷体_GB2312" w:eastAsia="楷体_GB2312"/>
          <w:bCs/>
          <w:sz w:val="32"/>
          <w:szCs w:val="32"/>
        </w:rPr>
        <w:t>2021</w:t>
      </w:r>
      <w:r>
        <w:rPr>
          <w:rFonts w:hint="eastAsia" w:ascii="楷体_GB2312" w:eastAsia="楷体_GB2312"/>
          <w:bCs/>
          <w:sz w:val="32"/>
          <w:szCs w:val="32"/>
        </w:rPr>
        <w:t>年</w:t>
      </w:r>
      <w:r>
        <w:rPr>
          <w:rFonts w:ascii="楷体_GB2312" w:eastAsia="楷体_GB2312"/>
          <w:bCs/>
          <w:sz w:val="32"/>
          <w:szCs w:val="32"/>
        </w:rPr>
        <w:t>10</w:t>
      </w:r>
      <w:r>
        <w:rPr>
          <w:rFonts w:hint="eastAsia" w:ascii="楷体_GB2312" w:eastAsia="楷体_GB2312"/>
          <w:bCs/>
          <w:sz w:val="32"/>
          <w:szCs w:val="32"/>
        </w:rPr>
        <w:t>月）</w:t>
      </w:r>
    </w:p>
    <w:p>
      <w:pPr>
        <w:spacing w:line="560" w:lineRule="exact"/>
        <w:ind w:firstLine="643" w:firstLineChars="200"/>
        <w:rPr>
          <w:rFonts w:ascii="仿宋_GB2312" w:eastAsia="仿宋_GB2312"/>
          <w:b/>
          <w:sz w:val="32"/>
          <w:szCs w:val="32"/>
        </w:rPr>
      </w:pPr>
      <w:r>
        <w:rPr>
          <w:rFonts w:ascii="仿宋_GB2312" w:eastAsia="仿宋_GB2312"/>
          <w:b/>
          <w:sz w:val="32"/>
          <w:szCs w:val="32"/>
        </w:rPr>
        <w:t>4.</w:t>
      </w:r>
      <w:r>
        <w:rPr>
          <w:rFonts w:hint="eastAsia" w:ascii="仿宋_GB2312" w:eastAsia="仿宋_GB2312"/>
          <w:b/>
          <w:sz w:val="32"/>
          <w:szCs w:val="32"/>
        </w:rPr>
        <w:t>智慧养老。</w:t>
      </w:r>
      <w:r>
        <w:rPr>
          <w:rFonts w:hint="eastAsia" w:ascii="仿宋_GB2312" w:hAnsi="微软雅黑" w:eastAsia="仿宋_GB2312"/>
          <w:sz w:val="32"/>
          <w:szCs w:val="32"/>
        </w:rPr>
        <w:t>为解决老年特殊群体“数字鸿沟”问题，让老年人也能够享受数字化发展带来的红利，在长滩社区建设老年护理站，为社区内自理老年人、半自理老年人提供日间托管、健康小屋自助体质检测、老年助餐点、安康通平台数据监测、免费上网、网上养老顾问等智慧养老服务，营造舒适、安全、便捷的生活环境，满足老年群体特殊需求，丰富老年人业余生活。</w:t>
      </w:r>
      <w:r>
        <w:rPr>
          <w:rFonts w:hint="eastAsia" w:ascii="楷体_GB2312" w:eastAsia="楷体_GB2312"/>
          <w:bCs/>
          <w:sz w:val="32"/>
          <w:szCs w:val="32"/>
        </w:rPr>
        <w:t>（责任部门：社区服务办。完成时间：</w:t>
      </w:r>
      <w:r>
        <w:rPr>
          <w:rFonts w:ascii="楷体_GB2312" w:eastAsia="楷体_GB2312"/>
          <w:bCs/>
          <w:sz w:val="32"/>
          <w:szCs w:val="32"/>
        </w:rPr>
        <w:t>2021</w:t>
      </w:r>
      <w:r>
        <w:rPr>
          <w:rFonts w:hint="eastAsia" w:ascii="楷体_GB2312" w:eastAsia="楷体_GB2312"/>
          <w:bCs/>
          <w:sz w:val="32"/>
          <w:szCs w:val="32"/>
        </w:rPr>
        <w:t>年</w:t>
      </w:r>
      <w:r>
        <w:rPr>
          <w:rFonts w:ascii="楷体_GB2312" w:eastAsia="楷体_GB2312"/>
          <w:bCs/>
          <w:sz w:val="32"/>
          <w:szCs w:val="32"/>
        </w:rPr>
        <w:t>10</w:t>
      </w:r>
      <w:r>
        <w:rPr>
          <w:rFonts w:hint="eastAsia" w:ascii="楷体_GB2312" w:eastAsia="楷体_GB2312"/>
          <w:bCs/>
          <w:sz w:val="32"/>
          <w:szCs w:val="32"/>
        </w:rPr>
        <w:t>月）</w:t>
      </w:r>
    </w:p>
    <w:p>
      <w:pPr>
        <w:spacing w:line="560" w:lineRule="exact"/>
        <w:ind w:firstLine="643" w:firstLineChars="200"/>
        <w:rPr>
          <w:rFonts w:ascii="仿宋_GB2312" w:eastAsia="仿宋_GB2312"/>
          <w:b/>
          <w:sz w:val="32"/>
          <w:szCs w:val="32"/>
        </w:rPr>
      </w:pPr>
      <w:r>
        <w:rPr>
          <w:rFonts w:ascii="仿宋_GB2312" w:eastAsia="仿宋_GB2312"/>
          <w:b/>
          <w:sz w:val="32"/>
          <w:szCs w:val="32"/>
        </w:rPr>
        <w:t>5.</w:t>
      </w:r>
      <w:r>
        <w:rPr>
          <w:rFonts w:hint="eastAsia" w:ascii="仿宋_GB2312" w:eastAsia="仿宋_GB2312"/>
          <w:b/>
          <w:sz w:val="32"/>
          <w:szCs w:val="32"/>
        </w:rPr>
        <w:t>智慧医疗。</w:t>
      </w:r>
      <w:r>
        <w:rPr>
          <w:rFonts w:hint="eastAsia" w:ascii="仿宋_GB2312" w:eastAsia="仿宋_GB2312"/>
          <w:sz w:val="32"/>
          <w:szCs w:val="32"/>
        </w:rPr>
        <w:t>拓展社区卫生服务站功能，以数字化医疗服务场景为创新突破方向，有机结合互联网医院、远程医疗交互、机器人智能引导、健康体征自助检测、智能取药柜等一系列数字化医疗新举措，建立</w:t>
      </w:r>
      <w:r>
        <w:rPr>
          <w:rFonts w:ascii="Times New Roman" w:hAnsi="Times New Roman" w:eastAsia="仿宋_GB2312"/>
          <w:sz w:val="32"/>
          <w:szCs w:val="32"/>
        </w:rPr>
        <w:t>7×24</w:t>
      </w:r>
      <w:r>
        <w:rPr>
          <w:rFonts w:hint="eastAsia" w:ascii="仿宋_GB2312" w:eastAsia="仿宋_GB2312"/>
          <w:sz w:val="32"/>
          <w:szCs w:val="32"/>
        </w:rPr>
        <w:t>小时无人医疗服务体系，提供统一准入初筛、远程问诊咨询、在线复诊、智能引导、智能诊疗、</w:t>
      </w:r>
      <w:r>
        <w:rPr>
          <w:rFonts w:hint="eastAsia" w:ascii="仿宋_GB2312" w:eastAsia="仿宋_GB2312"/>
          <w:spacing w:val="-6"/>
          <w:sz w:val="32"/>
          <w:szCs w:val="32"/>
        </w:rPr>
        <w:t>健康自测、自助取药等完整闭环的一体化自助式医疗服务场景</w:t>
      </w:r>
      <w:r>
        <w:rPr>
          <w:rFonts w:hint="eastAsia" w:ascii="仿宋_GB2312" w:eastAsia="仿宋_GB2312"/>
          <w:sz w:val="32"/>
          <w:szCs w:val="32"/>
        </w:rPr>
        <w:t>，打造无人智慧医疗服务新模式，提升社区医疗精准服务水平，促进居民便捷就医。</w:t>
      </w:r>
      <w:r>
        <w:rPr>
          <w:rFonts w:hint="eastAsia" w:ascii="楷体_GB2312" w:eastAsia="楷体_GB2312"/>
          <w:bCs/>
          <w:sz w:val="32"/>
          <w:szCs w:val="32"/>
        </w:rPr>
        <w:t>（责任部门：社区卫生服务中心。完成时间：</w:t>
      </w:r>
      <w:r>
        <w:rPr>
          <w:rFonts w:ascii="楷体_GB2312" w:eastAsia="楷体_GB2312"/>
          <w:bCs/>
          <w:sz w:val="32"/>
          <w:szCs w:val="32"/>
        </w:rPr>
        <w:t>2021</w:t>
      </w:r>
      <w:r>
        <w:rPr>
          <w:rFonts w:hint="eastAsia" w:ascii="楷体_GB2312" w:eastAsia="楷体_GB2312"/>
          <w:bCs/>
          <w:sz w:val="32"/>
          <w:szCs w:val="32"/>
        </w:rPr>
        <w:t>年</w:t>
      </w:r>
      <w:r>
        <w:rPr>
          <w:rFonts w:ascii="楷体_GB2312" w:eastAsia="楷体_GB2312"/>
          <w:bCs/>
          <w:sz w:val="32"/>
          <w:szCs w:val="32"/>
        </w:rPr>
        <w:t>10</w:t>
      </w:r>
      <w:r>
        <w:rPr>
          <w:rFonts w:hint="eastAsia" w:ascii="楷体_GB2312" w:eastAsia="楷体_GB2312"/>
          <w:bCs/>
          <w:sz w:val="32"/>
          <w:szCs w:val="32"/>
        </w:rPr>
        <w:t>月）</w:t>
      </w:r>
    </w:p>
    <w:p>
      <w:pPr>
        <w:spacing w:line="560" w:lineRule="exact"/>
        <w:ind w:firstLine="643" w:firstLineChars="200"/>
        <w:rPr>
          <w:rFonts w:ascii="仿宋_GB2312" w:eastAsia="仿宋_GB2312"/>
          <w:b/>
          <w:sz w:val="32"/>
          <w:szCs w:val="32"/>
        </w:rPr>
      </w:pPr>
      <w:r>
        <w:rPr>
          <w:rFonts w:ascii="仿宋_GB2312" w:eastAsia="仿宋_GB2312"/>
          <w:b/>
          <w:sz w:val="32"/>
          <w:szCs w:val="32"/>
        </w:rPr>
        <w:t>6.</w:t>
      </w:r>
      <w:r>
        <w:rPr>
          <w:rFonts w:hint="eastAsia" w:ascii="仿宋_GB2312" w:eastAsia="仿宋_GB2312"/>
          <w:b/>
          <w:sz w:val="32"/>
          <w:szCs w:val="32"/>
        </w:rPr>
        <w:t>智慧物业。</w:t>
      </w:r>
      <w:r>
        <w:rPr>
          <w:rFonts w:hint="eastAsia" w:ascii="仿宋_GB2312" w:eastAsia="仿宋_GB2312"/>
          <w:sz w:val="32"/>
          <w:szCs w:val="32"/>
        </w:rPr>
        <w:t>改变传统服务模式，以物业服务转型升级为目标，将移动互联网及物联网统一结合，以社区通、数字安防、呼叫中心为基础，构建智能物业服务平台，改变业主生活体验，引领社区生活方式的蝶变。</w:t>
      </w:r>
      <w:r>
        <w:rPr>
          <w:rFonts w:hint="eastAsia" w:ascii="楷体_GB2312" w:eastAsia="楷体_GB2312"/>
          <w:bCs/>
          <w:sz w:val="32"/>
          <w:szCs w:val="32"/>
        </w:rPr>
        <w:t>（责任部门：城市建设管理事务中心。完成时间：</w:t>
      </w:r>
      <w:r>
        <w:rPr>
          <w:rFonts w:ascii="楷体_GB2312" w:eastAsia="楷体_GB2312"/>
          <w:bCs/>
          <w:sz w:val="32"/>
          <w:szCs w:val="32"/>
        </w:rPr>
        <w:t>2021</w:t>
      </w:r>
      <w:r>
        <w:rPr>
          <w:rFonts w:hint="eastAsia" w:ascii="楷体_GB2312" w:eastAsia="楷体_GB2312"/>
          <w:bCs/>
          <w:sz w:val="32"/>
          <w:szCs w:val="32"/>
        </w:rPr>
        <w:t>年</w:t>
      </w:r>
      <w:r>
        <w:rPr>
          <w:rFonts w:ascii="楷体_GB2312" w:eastAsia="楷体_GB2312"/>
          <w:bCs/>
          <w:sz w:val="32"/>
          <w:szCs w:val="32"/>
        </w:rPr>
        <w:t>10</w:t>
      </w:r>
      <w:r>
        <w:rPr>
          <w:rFonts w:hint="eastAsia" w:ascii="楷体_GB2312" w:eastAsia="楷体_GB2312"/>
          <w:bCs/>
          <w:sz w:val="32"/>
          <w:szCs w:val="32"/>
        </w:rPr>
        <w:t>月）</w:t>
      </w:r>
    </w:p>
    <w:p>
      <w:pPr>
        <w:spacing w:line="560" w:lineRule="exact"/>
        <w:ind w:firstLine="643" w:firstLineChars="200"/>
        <w:rPr>
          <w:rFonts w:ascii="仿宋_GB2312" w:eastAsia="仿宋_GB2312"/>
          <w:b/>
          <w:sz w:val="32"/>
          <w:szCs w:val="32"/>
        </w:rPr>
      </w:pPr>
      <w:r>
        <w:rPr>
          <w:rFonts w:ascii="仿宋_GB2312" w:eastAsia="仿宋_GB2312"/>
          <w:b/>
          <w:sz w:val="32"/>
          <w:szCs w:val="32"/>
        </w:rPr>
        <w:t>7.</w:t>
      </w:r>
      <w:r>
        <w:rPr>
          <w:rFonts w:hint="eastAsia" w:ascii="仿宋_GB2312" w:eastAsia="仿宋_GB2312"/>
          <w:b/>
          <w:sz w:val="32"/>
          <w:szCs w:val="32"/>
        </w:rPr>
        <w:t>智慧环保。</w:t>
      </w:r>
      <w:r>
        <w:rPr>
          <w:rFonts w:hint="eastAsia" w:ascii="仿宋_GB2312" w:eastAsia="仿宋_GB2312"/>
          <w:sz w:val="32"/>
          <w:szCs w:val="32"/>
        </w:rPr>
        <w:t>引进智能垃圾箱房，实现人脸识别、智能投放、自助积分等功能，智能化展示垃圾投放情况，连接小区监控，智能抓拍投放违规行为，并将违规信息推送给小区垃圾分类负责人，对居民进行督促，引导养成绿色生活习惯。建立健全“两网融合”体系，系统后台连接小区摄像头实时监控可回收物满溢及落地问题，派送问题单至收运人员前往收集，跟踪收运车辆定位实时掌握收运情况，连接中转站地磅称，实时收集数据。物连网跟踪溯源可回收物来源去向，实现“小区</w:t>
      </w:r>
      <w:r>
        <w:rPr>
          <w:rFonts w:ascii="仿宋_GB2312" w:eastAsia="仿宋_GB2312"/>
          <w:sz w:val="32"/>
          <w:szCs w:val="32"/>
        </w:rPr>
        <w:t>-</w:t>
      </w:r>
      <w:r>
        <w:rPr>
          <w:rFonts w:hint="eastAsia" w:ascii="仿宋_GB2312" w:eastAsia="仿宋_GB2312"/>
          <w:sz w:val="32"/>
          <w:szCs w:val="32"/>
        </w:rPr>
        <w:t>中转站</w:t>
      </w:r>
      <w:r>
        <w:rPr>
          <w:rFonts w:ascii="仿宋_GB2312" w:eastAsia="仿宋_GB2312"/>
          <w:sz w:val="32"/>
          <w:szCs w:val="32"/>
        </w:rPr>
        <w:t>-</w:t>
      </w:r>
      <w:r>
        <w:rPr>
          <w:rFonts w:hint="eastAsia" w:ascii="仿宋_GB2312" w:eastAsia="仿宋_GB2312"/>
          <w:sz w:val="32"/>
          <w:szCs w:val="32"/>
        </w:rPr>
        <w:t>末端处置厂”闭环管理。</w:t>
      </w:r>
      <w:r>
        <w:rPr>
          <w:rFonts w:hint="eastAsia" w:ascii="楷体_GB2312" w:eastAsia="楷体_GB2312"/>
          <w:bCs/>
          <w:sz w:val="32"/>
          <w:szCs w:val="32"/>
        </w:rPr>
        <w:t>（责任部门：城市建设管理事务中心。完成时间：</w:t>
      </w:r>
      <w:r>
        <w:rPr>
          <w:rFonts w:ascii="楷体_GB2312" w:eastAsia="楷体_GB2312"/>
          <w:bCs/>
          <w:sz w:val="32"/>
          <w:szCs w:val="32"/>
        </w:rPr>
        <w:t>2021</w:t>
      </w:r>
      <w:r>
        <w:rPr>
          <w:rFonts w:hint="eastAsia" w:ascii="楷体_GB2312" w:eastAsia="楷体_GB2312"/>
          <w:bCs/>
          <w:sz w:val="32"/>
          <w:szCs w:val="32"/>
        </w:rPr>
        <w:t>年</w:t>
      </w:r>
      <w:r>
        <w:rPr>
          <w:rFonts w:ascii="楷体_GB2312" w:eastAsia="楷体_GB2312"/>
          <w:bCs/>
          <w:sz w:val="32"/>
          <w:szCs w:val="32"/>
        </w:rPr>
        <w:t>10</w:t>
      </w:r>
      <w:r>
        <w:rPr>
          <w:rFonts w:hint="eastAsia" w:ascii="楷体_GB2312" w:eastAsia="楷体_GB2312"/>
          <w:bCs/>
          <w:sz w:val="32"/>
          <w:szCs w:val="32"/>
        </w:rPr>
        <w:t>月）</w:t>
      </w:r>
    </w:p>
    <w:p>
      <w:pPr>
        <w:spacing w:line="560" w:lineRule="exact"/>
        <w:ind w:firstLine="643" w:firstLineChars="200"/>
        <w:rPr>
          <w:rFonts w:ascii="仿宋_GB2312" w:eastAsia="仿宋_GB2312"/>
          <w:b/>
          <w:sz w:val="32"/>
          <w:szCs w:val="32"/>
        </w:rPr>
      </w:pPr>
      <w:r>
        <w:rPr>
          <w:rFonts w:ascii="仿宋_GB2312" w:eastAsia="仿宋_GB2312"/>
          <w:b/>
          <w:sz w:val="32"/>
          <w:szCs w:val="32"/>
        </w:rPr>
        <w:t>8.</w:t>
      </w:r>
      <w:r>
        <w:rPr>
          <w:rFonts w:hint="eastAsia" w:ascii="仿宋_GB2312" w:eastAsia="仿宋_GB2312"/>
          <w:b/>
          <w:sz w:val="32"/>
          <w:szCs w:val="32"/>
        </w:rPr>
        <w:t>智慧停车。</w:t>
      </w:r>
      <w:r>
        <w:rPr>
          <w:rFonts w:hint="eastAsia" w:ascii="仿宋_GB2312" w:eastAsia="仿宋_GB2312"/>
          <w:sz w:val="32"/>
          <w:szCs w:val="32"/>
        </w:rPr>
        <w:t>小区停车场运营方在系统后台管理停车场基础信息，设置错峰</w:t>
      </w:r>
      <w:r>
        <w:rPr>
          <w:rFonts w:ascii="仿宋_GB2312" w:eastAsia="仿宋_GB2312"/>
          <w:sz w:val="32"/>
          <w:szCs w:val="32"/>
        </w:rPr>
        <w:t>/</w:t>
      </w:r>
      <w:r>
        <w:rPr>
          <w:rFonts w:hint="eastAsia" w:ascii="仿宋_GB2312" w:eastAsia="仿宋_GB2312"/>
          <w:sz w:val="32"/>
          <w:szCs w:val="32"/>
        </w:rPr>
        <w:t>包月停车规则、收费标准、开放数量等信息，用户可通过移动端小程序在线预定包月</w:t>
      </w:r>
      <w:r>
        <w:rPr>
          <w:rFonts w:ascii="仿宋_GB2312" w:eastAsia="仿宋_GB2312"/>
          <w:sz w:val="32"/>
          <w:szCs w:val="32"/>
        </w:rPr>
        <w:t>/</w:t>
      </w:r>
      <w:r>
        <w:rPr>
          <w:rFonts w:hint="eastAsia" w:ascii="仿宋_GB2312" w:eastAsia="仿宋_GB2312"/>
          <w:sz w:val="32"/>
          <w:szCs w:val="32"/>
        </w:rPr>
        <w:t>停车，运营方可通过系统报表实时查询各类数据报表、小区车库实时情况。</w:t>
      </w:r>
      <w:r>
        <w:rPr>
          <w:rFonts w:hint="eastAsia" w:ascii="楷体_GB2312" w:eastAsia="楷体_GB2312"/>
          <w:bCs/>
          <w:sz w:val="32"/>
          <w:szCs w:val="32"/>
        </w:rPr>
        <w:t>（责任部门：社区自治办。完成时间：</w:t>
      </w:r>
      <w:r>
        <w:rPr>
          <w:rFonts w:ascii="楷体_GB2312" w:eastAsia="楷体_GB2312"/>
          <w:bCs/>
          <w:sz w:val="32"/>
          <w:szCs w:val="32"/>
        </w:rPr>
        <w:t>2021</w:t>
      </w:r>
      <w:r>
        <w:rPr>
          <w:rFonts w:hint="eastAsia" w:ascii="楷体_GB2312" w:eastAsia="楷体_GB2312"/>
          <w:bCs/>
          <w:sz w:val="32"/>
          <w:szCs w:val="32"/>
        </w:rPr>
        <w:t>年</w:t>
      </w:r>
      <w:r>
        <w:rPr>
          <w:rFonts w:ascii="楷体_GB2312" w:eastAsia="楷体_GB2312"/>
          <w:bCs/>
          <w:sz w:val="32"/>
          <w:szCs w:val="32"/>
        </w:rPr>
        <w:t>8</w:t>
      </w:r>
      <w:r>
        <w:rPr>
          <w:rFonts w:hint="eastAsia" w:ascii="楷体_GB2312" w:eastAsia="楷体_GB2312"/>
          <w:bCs/>
          <w:sz w:val="32"/>
          <w:szCs w:val="32"/>
        </w:rPr>
        <w:t>月）</w:t>
      </w:r>
    </w:p>
    <w:p>
      <w:pPr>
        <w:numPr>
          <w:ilvl w:val="255"/>
          <w:numId w:val="0"/>
        </w:numPr>
        <w:spacing w:line="560" w:lineRule="exact"/>
        <w:ind w:firstLine="643" w:firstLineChars="200"/>
        <w:rPr>
          <w:rFonts w:ascii="仿宋_GB2312" w:eastAsia="仿宋_GB2312"/>
          <w:b/>
          <w:sz w:val="32"/>
          <w:szCs w:val="32"/>
        </w:rPr>
      </w:pPr>
      <w:r>
        <w:rPr>
          <w:rFonts w:ascii="仿宋_GB2312" w:eastAsia="仿宋_GB2312"/>
          <w:b/>
          <w:sz w:val="32"/>
          <w:szCs w:val="32"/>
        </w:rPr>
        <w:t>9.</w:t>
      </w:r>
      <w:r>
        <w:rPr>
          <w:rFonts w:hint="eastAsia" w:ascii="仿宋_GB2312" w:eastAsia="仿宋_GB2312"/>
          <w:b/>
          <w:sz w:val="32"/>
          <w:szCs w:val="32"/>
        </w:rPr>
        <w:t>智慧秒办。</w:t>
      </w:r>
      <w:r>
        <w:rPr>
          <w:rFonts w:hint="eastAsia" w:ascii="仿宋_GB2312" w:eastAsia="仿宋_GB2312"/>
          <w:sz w:val="32"/>
          <w:szCs w:val="32"/>
        </w:rPr>
        <w:t>优化政务服务“全天候”模式，以更高效、更便捷、更精准为目标，推进传统服务与智能创新结合，新增长滩社区“一网通办”自助服务终端，实现</w:t>
      </w:r>
      <w:r>
        <w:rPr>
          <w:rFonts w:ascii="Times New Roman" w:hAnsi="Times New Roman" w:eastAsia="仿宋_GB2312"/>
          <w:sz w:val="32"/>
          <w:szCs w:val="32"/>
        </w:rPr>
        <w:t>24</w:t>
      </w:r>
      <w:r>
        <w:rPr>
          <w:rFonts w:hint="eastAsia" w:ascii="仿宋_GB2312" w:eastAsia="仿宋_GB2312"/>
          <w:sz w:val="32"/>
          <w:szCs w:val="32"/>
        </w:rPr>
        <w:t>小时“不打烊”，满足居民随时随地办事需求，解决信息惠民“最后一公里”问题。创新建设“证码合一”办事全流程改造场景，提高办事效能，改善居民办事体验。</w:t>
      </w:r>
      <w:r>
        <w:rPr>
          <w:rFonts w:hint="eastAsia" w:ascii="楷体_GB2312" w:eastAsia="楷体_GB2312"/>
          <w:bCs/>
          <w:sz w:val="32"/>
          <w:szCs w:val="32"/>
        </w:rPr>
        <w:t>（责任部门：社区事务受理服务中心。完成时间：</w:t>
      </w:r>
      <w:r>
        <w:rPr>
          <w:rFonts w:ascii="楷体_GB2312" w:eastAsia="楷体_GB2312"/>
          <w:bCs/>
          <w:sz w:val="32"/>
          <w:szCs w:val="32"/>
        </w:rPr>
        <w:t>2021</w:t>
      </w:r>
      <w:r>
        <w:rPr>
          <w:rFonts w:hint="eastAsia" w:ascii="楷体_GB2312" w:eastAsia="楷体_GB2312"/>
          <w:bCs/>
          <w:sz w:val="32"/>
          <w:szCs w:val="32"/>
        </w:rPr>
        <w:t>年</w:t>
      </w:r>
      <w:r>
        <w:rPr>
          <w:rFonts w:ascii="楷体_GB2312" w:eastAsia="楷体_GB2312"/>
          <w:bCs/>
          <w:sz w:val="32"/>
          <w:szCs w:val="32"/>
        </w:rPr>
        <w:t>10</w:t>
      </w:r>
      <w:r>
        <w:rPr>
          <w:rFonts w:hint="eastAsia" w:ascii="楷体_GB2312" w:eastAsia="楷体_GB2312"/>
          <w:bCs/>
          <w:sz w:val="32"/>
          <w:szCs w:val="32"/>
        </w:rPr>
        <w:t>月）</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（二）数字治理</w:t>
      </w:r>
    </w:p>
    <w:p>
      <w:pPr>
        <w:spacing w:line="560" w:lineRule="exact"/>
        <w:ind w:firstLine="643" w:firstLineChars="20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九宫格党建“多网合一”。</w:t>
      </w:r>
      <w:r>
        <w:rPr>
          <w:rFonts w:hint="eastAsia" w:ascii="仿宋_GB2312" w:eastAsia="仿宋_GB2312"/>
          <w:sz w:val="32"/>
          <w:szCs w:val="32"/>
        </w:rPr>
        <w:t>坚持党建“领航”，以“三个美丽”及“城市管理精细化”为切入口，活用信息化、智慧化手段，打造兼具政治功能、治理功能和服务功能的“九宫格”社区治理一张网，实现资源共享、数据跑路。创新联合“一网统管”与智慧党建平台，通过数字化支撑，不断完善“三街区”“九宫格”精细化管理新模式，以“时间延伸、范围延伸、措施延伸”为突破，进一步拓展综合治理范围，涵盖市容环卫、设施管理、街面秩序、综合管理、环境保护、治安管理、应急联动等管理服务事项，实施“人防、物防、技防”三结合，变被动处理”为“主动出击”，从“人海战术”走向“智慧治理”，有效发挥联动治理的作用，努力实现“小事处置不出格、大事化解不出辖区”的管理格局，实现基层党建和社会治理的双提升。</w:t>
      </w:r>
      <w:r>
        <w:rPr>
          <w:rFonts w:hint="eastAsia" w:ascii="楷体_GB2312" w:eastAsia="楷体_GB2312"/>
          <w:bCs/>
          <w:sz w:val="32"/>
          <w:szCs w:val="32"/>
        </w:rPr>
        <w:t>（责任部门：社区党建办、社区管理办、社区平安办、社区党群服务中心。完成时间：</w:t>
      </w:r>
      <w:r>
        <w:rPr>
          <w:rFonts w:ascii="楷体_GB2312" w:eastAsia="楷体_GB2312"/>
          <w:bCs/>
          <w:sz w:val="32"/>
          <w:szCs w:val="32"/>
        </w:rPr>
        <w:t>2021</w:t>
      </w:r>
      <w:r>
        <w:rPr>
          <w:rFonts w:hint="eastAsia" w:ascii="楷体_GB2312" w:eastAsia="楷体_GB2312"/>
          <w:bCs/>
          <w:sz w:val="32"/>
          <w:szCs w:val="32"/>
        </w:rPr>
        <w:t>年</w:t>
      </w:r>
      <w:r>
        <w:rPr>
          <w:rFonts w:ascii="楷体_GB2312" w:eastAsia="楷体_GB2312"/>
          <w:bCs/>
          <w:sz w:val="32"/>
          <w:szCs w:val="32"/>
        </w:rPr>
        <w:t>12</w:t>
      </w:r>
      <w:r>
        <w:rPr>
          <w:rFonts w:hint="eastAsia" w:ascii="楷体_GB2312" w:eastAsia="楷体_GB2312"/>
          <w:bCs/>
          <w:sz w:val="32"/>
          <w:szCs w:val="32"/>
        </w:rPr>
        <w:t>月）</w:t>
      </w:r>
    </w:p>
    <w:p>
      <w:pPr>
        <w:spacing w:line="560" w:lineRule="exact"/>
        <w:ind w:firstLine="643"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街区管理“一网统管”</w:t>
      </w:r>
      <w:r>
        <w:rPr>
          <w:rFonts w:hint="eastAsia" w:ascii="仿宋_GB2312" w:eastAsia="仿宋_GB2312"/>
          <w:sz w:val="32"/>
          <w:szCs w:val="32"/>
        </w:rPr>
        <w:t>。坚持“硬件改造”和“软件提升”两手抓，</w:t>
      </w:r>
      <w:r>
        <w:rPr>
          <w:rFonts w:ascii="Times New Roman" w:hAnsi="Times New Roman" w:eastAsia="仿宋_GB2312"/>
          <w:sz w:val="32"/>
          <w:szCs w:val="32"/>
        </w:rPr>
        <w:t>10</w:t>
      </w:r>
      <w:r>
        <w:rPr>
          <w:rFonts w:hint="eastAsia" w:ascii="仿宋_GB2312" w:eastAsia="仿宋_GB2312"/>
          <w:sz w:val="32"/>
          <w:szCs w:val="32"/>
        </w:rPr>
        <w:t>月启用街道新城运中心。按照“应用为要、管用为王”原则，持续推进硬件、软件的建设和应用，优化业务流程，提升线上线下协同的精准治理能力，依托“数据循环”实现“管理闭环”，推进城市运行向智联应用发展。</w:t>
      </w:r>
      <w:r>
        <w:rPr>
          <w:rFonts w:hint="eastAsia" w:ascii="楷体_GB2312" w:eastAsia="楷体_GB2312"/>
          <w:bCs/>
          <w:sz w:val="32"/>
          <w:szCs w:val="32"/>
        </w:rPr>
        <w:t>（责任部门：社区平安办。完成时间：</w:t>
      </w:r>
      <w:r>
        <w:rPr>
          <w:rFonts w:ascii="楷体_GB2312" w:eastAsia="楷体_GB2312"/>
          <w:bCs/>
          <w:sz w:val="32"/>
          <w:szCs w:val="32"/>
        </w:rPr>
        <w:t>2021</w:t>
      </w:r>
      <w:r>
        <w:rPr>
          <w:rFonts w:hint="eastAsia" w:ascii="楷体_GB2312" w:eastAsia="楷体_GB2312"/>
          <w:bCs/>
          <w:sz w:val="32"/>
          <w:szCs w:val="32"/>
        </w:rPr>
        <w:t>年</w:t>
      </w:r>
      <w:r>
        <w:rPr>
          <w:rFonts w:ascii="楷体_GB2312" w:eastAsia="楷体_GB2312"/>
          <w:bCs/>
          <w:sz w:val="32"/>
          <w:szCs w:val="32"/>
        </w:rPr>
        <w:t>10</w:t>
      </w:r>
      <w:r>
        <w:rPr>
          <w:rFonts w:hint="eastAsia" w:ascii="楷体_GB2312" w:eastAsia="楷体_GB2312"/>
          <w:bCs/>
          <w:sz w:val="32"/>
          <w:szCs w:val="32"/>
        </w:rPr>
        <w:t>月）</w:t>
      </w:r>
    </w:p>
    <w:p>
      <w:pPr>
        <w:spacing w:line="560" w:lineRule="exact"/>
        <w:ind w:firstLine="640" w:firstLineChars="200"/>
        <w:rPr>
          <w:rFonts w:ascii="Times New Roman" w:hAnsi="Times New Roman" w:eastAsia="仿宋_GB2312"/>
          <w:bCs/>
          <w:sz w:val="32"/>
          <w:szCs w:val="32"/>
        </w:rPr>
      </w:pPr>
      <w:r>
        <w:rPr>
          <w:rFonts w:hint="eastAsia" w:ascii="仿宋_GB2312" w:eastAsia="仿宋_GB2312"/>
          <w:sz w:val="32"/>
          <w:szCs w:val="32"/>
        </w:rPr>
        <w:t>做实“一网统管”的九个应用场景，包括智慧眼综合管理平台、移动取证系统、电器灭弧、智慧云梯系统、鹰眼设备、小区智慧云台、非机动车整治、跨门经营治理、社会面综合管理。除“智慧眼”应用场景外，其余应用场景都将打通与“友谊智慧眼综合管理平台”的数据壁垒，推</w:t>
      </w:r>
      <w:r>
        <w:rPr>
          <w:rFonts w:hint="eastAsia" w:ascii="Times New Roman" w:hAnsi="Times New Roman" w:eastAsia="仿宋_GB2312"/>
          <w:sz w:val="32"/>
          <w:szCs w:val="32"/>
        </w:rPr>
        <w:t>动数据归集应用、系统集成开发、资源高效配置、功能综合运用，实现“全网共享、全时可用、全程可控”的既定目标</w:t>
      </w:r>
      <w:r>
        <w:rPr>
          <w:rFonts w:hint="eastAsia" w:ascii="仿宋_GB2312" w:hAnsi="仿宋_GB2312" w:eastAsia="仿宋_GB2312" w:cs="仿宋_GB2312"/>
          <w:sz w:val="32"/>
          <w:szCs w:val="32"/>
        </w:rPr>
        <w:t>，进一步</w:t>
      </w:r>
      <w:r>
        <w:rPr>
          <w:rFonts w:hint="eastAsia" w:ascii="Times New Roman" w:hAnsi="Times New Roman" w:eastAsia="仿宋_GB2312"/>
          <w:sz w:val="32"/>
          <w:szCs w:val="32"/>
        </w:rPr>
        <w:t>推进数字化技术在“一网统管”领域的深度应用。</w:t>
      </w:r>
      <w:r>
        <w:rPr>
          <w:rFonts w:hint="eastAsia" w:ascii="楷体_GB2312" w:eastAsia="楷体_GB2312"/>
          <w:bCs/>
          <w:sz w:val="32"/>
          <w:szCs w:val="32"/>
        </w:rPr>
        <w:t>（责任部门：城市运行管理中心。完成时间：</w:t>
      </w:r>
      <w:r>
        <w:rPr>
          <w:rFonts w:ascii="楷体_GB2312" w:eastAsia="楷体_GB2312"/>
          <w:bCs/>
          <w:sz w:val="32"/>
          <w:szCs w:val="32"/>
        </w:rPr>
        <w:t>2021</w:t>
      </w:r>
      <w:r>
        <w:rPr>
          <w:rFonts w:hint="eastAsia" w:ascii="楷体_GB2312" w:eastAsia="楷体_GB2312"/>
          <w:bCs/>
          <w:sz w:val="32"/>
          <w:szCs w:val="32"/>
        </w:rPr>
        <w:t>年</w:t>
      </w:r>
      <w:r>
        <w:rPr>
          <w:rFonts w:ascii="楷体_GB2312" w:eastAsia="楷体_GB2312"/>
          <w:bCs/>
          <w:sz w:val="32"/>
          <w:szCs w:val="32"/>
        </w:rPr>
        <w:t>10</w:t>
      </w:r>
      <w:r>
        <w:rPr>
          <w:rFonts w:hint="eastAsia" w:ascii="楷体_GB2312" w:eastAsia="楷体_GB2312"/>
          <w:bCs/>
          <w:sz w:val="32"/>
          <w:szCs w:val="32"/>
        </w:rPr>
        <w:t>月）</w:t>
      </w:r>
    </w:p>
    <w:p>
      <w:pPr>
        <w:spacing w:line="560" w:lineRule="exact"/>
        <w:ind w:firstLine="643" w:firstLineChars="200"/>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社区数据“一云覆盖”。</w:t>
      </w:r>
      <w:r>
        <w:rPr>
          <w:rFonts w:hint="eastAsia" w:ascii="Times New Roman" w:hAnsi="Times New Roman" w:eastAsia="仿宋_GB2312"/>
          <w:sz w:val="32"/>
          <w:szCs w:val="40"/>
        </w:rPr>
        <w:t>健全完善“友谊云”社区管理信息平台，</w:t>
      </w:r>
      <w:r>
        <w:rPr>
          <w:rFonts w:hint="eastAsia" w:ascii="仿宋_GB2312" w:eastAsia="仿宋_GB2312"/>
          <w:sz w:val="32"/>
          <w:szCs w:val="32"/>
        </w:rPr>
        <w:t>建立街道动态更新的人口库和人员信息的标签化体系，</w:t>
      </w:r>
      <w:r>
        <w:rPr>
          <w:rFonts w:hint="eastAsia" w:ascii="Times New Roman" w:hAnsi="Times New Roman" w:eastAsia="仿宋_GB2312"/>
          <w:sz w:val="32"/>
          <w:szCs w:val="32"/>
        </w:rPr>
        <w:t>精准提供本地人房数据库，实现实有人口</w:t>
      </w:r>
      <w:r>
        <w:rPr>
          <w:rFonts w:ascii="Times New Roman" w:hAnsi="Times New Roman" w:eastAsia="仿宋_GB2312"/>
          <w:sz w:val="32"/>
          <w:szCs w:val="32"/>
        </w:rPr>
        <w:t>“</w:t>
      </w:r>
      <w:r>
        <w:rPr>
          <w:rFonts w:hint="eastAsia" w:ascii="Times New Roman" w:hAnsi="Times New Roman" w:eastAsia="仿宋_GB2312"/>
          <w:sz w:val="32"/>
          <w:szCs w:val="32"/>
        </w:rPr>
        <w:t>一网更新</w:t>
      </w:r>
      <w:r>
        <w:rPr>
          <w:rFonts w:ascii="Times New Roman" w:hAnsi="Times New Roman" w:eastAsia="仿宋_GB2312"/>
          <w:sz w:val="32"/>
          <w:szCs w:val="32"/>
        </w:rPr>
        <w:t>”</w:t>
      </w:r>
      <w:r>
        <w:rPr>
          <w:rFonts w:hint="eastAsia" w:ascii="Times New Roman" w:hAnsi="Times New Roman" w:eastAsia="仿宋_GB2312"/>
          <w:sz w:val="32"/>
          <w:szCs w:val="32"/>
        </w:rPr>
        <w:t>、基础材料</w:t>
      </w:r>
      <w:r>
        <w:rPr>
          <w:rFonts w:ascii="Times New Roman" w:hAnsi="Times New Roman" w:eastAsia="仿宋_GB2312"/>
          <w:sz w:val="32"/>
          <w:szCs w:val="32"/>
        </w:rPr>
        <w:t>“</w:t>
      </w:r>
      <w:r>
        <w:rPr>
          <w:rFonts w:hint="eastAsia" w:ascii="Times New Roman" w:hAnsi="Times New Roman" w:eastAsia="仿宋_GB2312"/>
          <w:sz w:val="32"/>
          <w:szCs w:val="32"/>
        </w:rPr>
        <w:t>一网查询</w:t>
      </w:r>
      <w:r>
        <w:rPr>
          <w:rFonts w:ascii="Times New Roman" w:hAnsi="Times New Roman" w:eastAsia="仿宋_GB2312"/>
          <w:sz w:val="32"/>
          <w:szCs w:val="32"/>
        </w:rPr>
        <w:t>”</w:t>
      </w:r>
      <w:r>
        <w:rPr>
          <w:rFonts w:hint="eastAsia" w:ascii="Times New Roman" w:hAnsi="Times New Roman" w:eastAsia="仿宋_GB2312"/>
          <w:sz w:val="32"/>
          <w:szCs w:val="32"/>
        </w:rPr>
        <w:t>、综合数据</w:t>
      </w:r>
      <w:r>
        <w:rPr>
          <w:rFonts w:ascii="Times New Roman" w:hAnsi="Times New Roman" w:eastAsia="仿宋_GB2312"/>
          <w:sz w:val="32"/>
          <w:szCs w:val="32"/>
        </w:rPr>
        <w:t>“</w:t>
      </w:r>
      <w:r>
        <w:rPr>
          <w:rFonts w:hint="eastAsia" w:ascii="Times New Roman" w:hAnsi="Times New Roman" w:eastAsia="仿宋_GB2312"/>
          <w:sz w:val="32"/>
          <w:szCs w:val="32"/>
        </w:rPr>
        <w:t>一网分析</w:t>
      </w:r>
      <w:r>
        <w:rPr>
          <w:rFonts w:ascii="Times New Roman" w:hAnsi="Times New Roman" w:eastAsia="仿宋_GB2312"/>
          <w:sz w:val="32"/>
          <w:szCs w:val="32"/>
        </w:rPr>
        <w:t>”</w:t>
      </w:r>
      <w:r>
        <w:rPr>
          <w:rFonts w:hint="eastAsia" w:ascii="Times New Roman" w:hAnsi="Times New Roman" w:eastAsia="仿宋_GB2312"/>
          <w:sz w:val="32"/>
          <w:szCs w:val="32"/>
        </w:rPr>
        <w:t>。</w:t>
      </w:r>
      <w:r>
        <w:rPr>
          <w:rFonts w:hint="eastAsia" w:ascii="仿宋_GB2312" w:eastAsia="仿宋_GB2312"/>
          <w:sz w:val="32"/>
          <w:szCs w:val="32"/>
        </w:rPr>
        <w:t>二期开发增加走访管理、民情日志功能，优化大屏展示、数据采集、数据管理、政策法规检索等功能，进一步提高社区精细化治理水平。</w:t>
      </w:r>
      <w:r>
        <w:rPr>
          <w:rFonts w:hint="eastAsia" w:ascii="楷体_GB2312" w:eastAsia="楷体_GB2312"/>
          <w:bCs/>
          <w:sz w:val="32"/>
          <w:szCs w:val="32"/>
        </w:rPr>
        <w:t>（责任部门：社区自治办。完成时间：</w:t>
      </w:r>
      <w:r>
        <w:rPr>
          <w:rFonts w:ascii="楷体_GB2312" w:eastAsia="楷体_GB2312"/>
          <w:bCs/>
          <w:sz w:val="32"/>
          <w:szCs w:val="32"/>
        </w:rPr>
        <w:t>2021</w:t>
      </w:r>
      <w:r>
        <w:rPr>
          <w:rFonts w:hint="eastAsia" w:ascii="楷体_GB2312" w:eastAsia="楷体_GB2312"/>
          <w:bCs/>
          <w:sz w:val="32"/>
          <w:szCs w:val="32"/>
        </w:rPr>
        <w:t>年</w:t>
      </w:r>
      <w:r>
        <w:rPr>
          <w:rFonts w:ascii="楷体_GB2312" w:eastAsia="楷体_GB2312"/>
          <w:bCs/>
          <w:sz w:val="32"/>
          <w:szCs w:val="32"/>
        </w:rPr>
        <w:t>8</w:t>
      </w:r>
      <w:r>
        <w:rPr>
          <w:rFonts w:hint="eastAsia" w:ascii="楷体_GB2312" w:eastAsia="楷体_GB2312"/>
          <w:bCs/>
          <w:sz w:val="32"/>
          <w:szCs w:val="32"/>
        </w:rPr>
        <w:t>月）</w:t>
      </w:r>
    </w:p>
    <w:p>
      <w:pPr>
        <w:spacing w:line="560" w:lineRule="exact"/>
        <w:ind w:firstLine="643" w:firstLineChars="200"/>
        <w:rPr>
          <w:rFonts w:ascii="仿宋_GB2312" w:eastAsia="仿宋_GB2312"/>
          <w:b/>
          <w:sz w:val="32"/>
          <w:szCs w:val="32"/>
        </w:rPr>
      </w:pPr>
      <w:r>
        <w:rPr>
          <w:rFonts w:ascii="仿宋_GB2312" w:eastAsia="仿宋_GB2312"/>
          <w:b/>
          <w:sz w:val="32"/>
          <w:szCs w:val="32"/>
        </w:rPr>
        <w:t>4.</w:t>
      </w:r>
      <w:r>
        <w:rPr>
          <w:rFonts w:hint="eastAsia" w:ascii="仿宋_GB2312" w:eastAsia="仿宋_GB2312"/>
          <w:b/>
          <w:sz w:val="32"/>
          <w:szCs w:val="32"/>
        </w:rPr>
        <w:t>社区交流“一网情深”。</w:t>
      </w:r>
      <w:r>
        <w:rPr>
          <w:rFonts w:hint="eastAsia" w:ascii="Times New Roman" w:hAnsi="Times New Roman" w:eastAsia="仿宋_GB2312"/>
          <w:sz w:val="32"/>
          <w:szCs w:val="40"/>
        </w:rPr>
        <w:t>全面深化“社区通”工作，持续扩大社区服务受益覆盖面，提升“四治一体”家园活力，打造邻里、教育、健康、创业、建筑、交通、低碳、服务和治理等紧密互益场景为一体的“数字街区微生态圈”。依托“社区通”平台，进一步做好后台大数据运行应用，利用互联网快捷便利的特点，通过</w:t>
      </w:r>
      <w:r>
        <w:rPr>
          <w:rFonts w:hint="eastAsia" w:ascii="Times New Roman" w:hAnsi="Times New Roman" w:eastAsia="仿宋_GB2312"/>
          <w:sz w:val="32"/>
          <w:szCs w:val="32"/>
        </w:rPr>
        <w:t>线上收集、解决居民关心关切问题，</w:t>
      </w:r>
      <w:r>
        <w:rPr>
          <w:rFonts w:hint="eastAsia" w:ascii="Times New Roman" w:hAnsi="Times New Roman" w:eastAsia="仿宋_GB2312"/>
          <w:sz w:val="32"/>
          <w:szCs w:val="40"/>
        </w:rPr>
        <w:t>打开社区居民互动参与的“治理通道”，提升群众参与基层治理的积极性，凝聚“整体智治”的社会共识，彰显城市软实力。</w:t>
      </w:r>
      <w:r>
        <w:rPr>
          <w:rFonts w:hint="eastAsia" w:ascii="楷体_GB2312" w:eastAsia="楷体_GB2312"/>
          <w:bCs/>
          <w:sz w:val="32"/>
          <w:szCs w:val="32"/>
        </w:rPr>
        <w:t>（责任部门：社区自治办。完成时间：</w:t>
      </w:r>
      <w:r>
        <w:rPr>
          <w:rFonts w:ascii="楷体_GB2312" w:eastAsia="楷体_GB2312"/>
          <w:bCs/>
          <w:sz w:val="32"/>
          <w:szCs w:val="32"/>
        </w:rPr>
        <w:t>2021</w:t>
      </w:r>
      <w:r>
        <w:rPr>
          <w:rFonts w:hint="eastAsia" w:ascii="楷体_GB2312" w:eastAsia="楷体_GB2312"/>
          <w:bCs/>
          <w:sz w:val="32"/>
          <w:szCs w:val="32"/>
        </w:rPr>
        <w:t>年</w:t>
      </w:r>
      <w:r>
        <w:rPr>
          <w:rFonts w:ascii="楷体_GB2312" w:eastAsia="楷体_GB2312"/>
          <w:bCs/>
          <w:sz w:val="32"/>
          <w:szCs w:val="32"/>
        </w:rPr>
        <w:t>10</w:t>
      </w:r>
      <w:r>
        <w:rPr>
          <w:rFonts w:hint="eastAsia" w:ascii="楷体_GB2312" w:eastAsia="楷体_GB2312"/>
          <w:bCs/>
          <w:sz w:val="32"/>
          <w:szCs w:val="32"/>
        </w:rPr>
        <w:t>月）</w:t>
      </w:r>
    </w:p>
    <w:p>
      <w:pPr>
        <w:spacing w:line="560" w:lineRule="exact"/>
        <w:ind w:firstLine="643" w:firstLineChars="200"/>
        <w:rPr>
          <w:rFonts w:ascii="黑体" w:hAnsi="黑体" w:eastAsia="黑体"/>
          <w:sz w:val="32"/>
          <w:szCs w:val="32"/>
        </w:rPr>
      </w:pPr>
      <w:r>
        <w:rPr>
          <w:rFonts w:hint="eastAsia" w:ascii="楷体_GB2312" w:eastAsia="楷体_GB2312"/>
          <w:b/>
          <w:sz w:val="32"/>
          <w:szCs w:val="32"/>
        </w:rPr>
        <w:t>（三）数字经济</w:t>
      </w:r>
    </w:p>
    <w:p>
      <w:pPr>
        <w:spacing w:line="56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招商数字化转型。</w:t>
      </w:r>
      <w:r>
        <w:rPr>
          <w:rFonts w:hint="eastAsia" w:ascii="仿宋_GB2312" w:hAnsi="仿宋_GB2312" w:eastAsia="仿宋_GB2312" w:cs="仿宋_GB2312"/>
          <w:sz w:val="32"/>
          <w:szCs w:val="32"/>
        </w:rPr>
        <w:t>借助宝山区特色“数字生态招商系统”，实现精准招商“一平台”、产业资源“一张图”、政策服务“一站点”、绩效评估“一张榜”，提供办公楼宇、政策支持、资源配置、对接服务等全程可视化的数据支撑服务，辅助项目落地，提高招商效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学习江苏火炬</w:t>
      </w:r>
      <w:r>
        <w:rPr>
          <w:rFonts w:ascii="仿宋_GB2312" w:hAnsi="仿宋_GB2312" w:eastAsia="仿宋_GB2312" w:cs="仿宋_GB2312"/>
          <w:sz w:val="32"/>
          <w:szCs w:val="32"/>
        </w:rPr>
        <w:t>O'Park</w:t>
      </w:r>
      <w:r>
        <w:rPr>
          <w:rFonts w:hint="eastAsia" w:ascii="仿宋_GB2312" w:hAnsi="仿宋_GB2312" w:eastAsia="仿宋_GB2312" w:cs="仿宋_GB2312"/>
          <w:sz w:val="32"/>
          <w:szCs w:val="32"/>
        </w:rPr>
        <w:t>服务平台，开发“智慧营商数据服务通”小程序，建立企业库、资源库、项目库、载体库、政策直达、政策解读、问题反馈等功能板块，打造企业信息“一键查”、街道资源“一点通”、惠企政策“一把尺”的友谊特色信息化系统，以“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服务”的理念打通政企衔接壁垒，形成服务闭环。</w:t>
      </w:r>
      <w:r>
        <w:rPr>
          <w:rFonts w:hint="eastAsia" w:ascii="楷体_GB2312" w:eastAsia="楷体_GB2312"/>
          <w:bCs/>
          <w:sz w:val="32"/>
          <w:szCs w:val="32"/>
        </w:rPr>
        <w:t>（责任部门：营商环境办（财务管理办）、都市宝谊经济发展有限公司。完成时间：</w:t>
      </w:r>
      <w:r>
        <w:rPr>
          <w:rFonts w:ascii="楷体_GB2312" w:eastAsia="楷体_GB2312"/>
          <w:bCs/>
          <w:sz w:val="32"/>
          <w:szCs w:val="32"/>
        </w:rPr>
        <w:t>2021</w:t>
      </w:r>
      <w:r>
        <w:rPr>
          <w:rFonts w:hint="eastAsia" w:ascii="楷体_GB2312" w:eastAsia="楷体_GB2312"/>
          <w:bCs/>
          <w:sz w:val="32"/>
          <w:szCs w:val="32"/>
        </w:rPr>
        <w:t>年</w:t>
      </w:r>
      <w:r>
        <w:rPr>
          <w:rFonts w:ascii="楷体_GB2312" w:eastAsia="楷体_GB2312"/>
          <w:bCs/>
          <w:sz w:val="32"/>
          <w:szCs w:val="32"/>
        </w:rPr>
        <w:t>12</w:t>
      </w:r>
      <w:r>
        <w:rPr>
          <w:rFonts w:hint="eastAsia" w:ascii="楷体_GB2312" w:eastAsia="楷体_GB2312"/>
          <w:bCs/>
          <w:sz w:val="32"/>
          <w:szCs w:val="32"/>
        </w:rPr>
        <w:t>月）</w:t>
      </w:r>
    </w:p>
    <w:p>
      <w:pPr>
        <w:spacing w:line="56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产业数字化转型。</w:t>
      </w:r>
      <w:r>
        <w:rPr>
          <w:rFonts w:hint="eastAsia" w:ascii="仿宋_GB2312" w:hAnsi="仿宋_GB2312" w:eastAsia="仿宋_GB2312" w:cs="仿宋_GB2312"/>
          <w:sz w:val="32"/>
          <w:szCs w:val="32"/>
        </w:rPr>
        <w:t>全力推进制造业数字化转型，从研发设计向生产制造、经营管理、市场服务等各个环节的数字化应用拓展，助力华域皮尔博格智能制造基地建设，未来建成无人车间，打造成为宝山制造业名片。深化宝龙公寓</w:t>
      </w:r>
      <w:r>
        <w:rPr>
          <w:rFonts w:ascii="仿宋_GB2312" w:hAnsi="仿宋_GB2312" w:eastAsia="仿宋_GB2312" w:cs="仿宋_GB2312"/>
          <w:sz w:val="32"/>
          <w:szCs w:val="32"/>
        </w:rPr>
        <w:t>Designed by MUJI</w:t>
      </w:r>
      <w:r>
        <w:rPr>
          <w:rFonts w:hint="eastAsia" w:ascii="仿宋_GB2312" w:hAnsi="仿宋_GB2312" w:eastAsia="仿宋_GB2312" w:cs="仿宋_GB2312"/>
          <w:sz w:val="32"/>
          <w:szCs w:val="32"/>
        </w:rPr>
        <w:t>品牌科技内涵，优化失重餐厅双回路多螺旋轨道送餐系统、海底捞全程无接触机器人送餐等高科技服务，为居民日常生活带来新体验，为经济发展注入新动能。继续发挥生活服务平台数据、科技等优势，构建“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”消费生态体系，加速推进服务业数字化转型。</w:t>
      </w:r>
      <w:r>
        <w:rPr>
          <w:rFonts w:hint="eastAsia" w:ascii="楷体_GB2312" w:eastAsia="楷体_GB2312"/>
          <w:bCs/>
          <w:sz w:val="32"/>
          <w:szCs w:val="32"/>
        </w:rPr>
        <w:t>（责任部门：营商环境办（财务管理办）、都市宝谊经济发展有限公司。完成时间：</w:t>
      </w:r>
      <w:r>
        <w:rPr>
          <w:rFonts w:ascii="楷体_GB2312" w:eastAsia="楷体_GB2312"/>
          <w:bCs/>
          <w:sz w:val="32"/>
          <w:szCs w:val="32"/>
        </w:rPr>
        <w:t>2023</w:t>
      </w:r>
      <w:r>
        <w:rPr>
          <w:rFonts w:hint="eastAsia" w:ascii="楷体_GB2312" w:eastAsia="楷体_GB2312"/>
          <w:bCs/>
          <w:sz w:val="32"/>
          <w:szCs w:val="32"/>
        </w:rPr>
        <w:t>年</w:t>
      </w:r>
      <w:r>
        <w:rPr>
          <w:rFonts w:ascii="楷体_GB2312" w:eastAsia="楷体_GB2312"/>
          <w:bCs/>
          <w:sz w:val="32"/>
          <w:szCs w:val="32"/>
        </w:rPr>
        <w:t>12</w:t>
      </w:r>
      <w:r>
        <w:rPr>
          <w:rFonts w:hint="eastAsia" w:ascii="楷体_GB2312" w:eastAsia="楷体_GB2312"/>
          <w:bCs/>
          <w:sz w:val="32"/>
          <w:szCs w:val="32"/>
        </w:rPr>
        <w:t>月）</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大力孵化高新技术企业</w:t>
      </w:r>
      <w:r>
        <w:rPr>
          <w:rFonts w:hint="eastAsia" w:ascii="仿宋_GB2312" w:hAnsi="仿宋_GB2312" w:eastAsia="仿宋_GB2312" w:cs="仿宋_GB2312"/>
          <w:sz w:val="32"/>
          <w:szCs w:val="32"/>
        </w:rPr>
        <w:t>。加强高企孵化培育，打造科创企业发展高地。用好宝山科创</w:t>
      </w:r>
      <w:r>
        <w:rPr>
          <w:rFonts w:ascii="Times New Roman" w:hAnsi="Times New Roman" w:eastAsia="仿宋_GB2312"/>
          <w:sz w:val="32"/>
          <w:szCs w:val="32"/>
        </w:rPr>
        <w:t>30</w:t>
      </w:r>
      <w:r>
        <w:rPr>
          <w:rFonts w:hint="eastAsia" w:ascii="仿宋_GB2312" w:hAnsi="仿宋_GB2312" w:eastAsia="仿宋_GB2312" w:cs="仿宋_GB2312"/>
          <w:sz w:val="32"/>
          <w:szCs w:val="32"/>
        </w:rPr>
        <w:t>条产业政策，指导并协助宝钢节能、信睿信息技术等</w:t>
      </w:r>
      <w:r>
        <w:rPr>
          <w:rFonts w:ascii="Times New Roman" w:hAnsi="Times New Roman" w:eastAsia="仿宋_GB2312"/>
          <w:sz w:val="32"/>
          <w:szCs w:val="32"/>
        </w:rPr>
        <w:t>5</w:t>
      </w:r>
      <w:r>
        <w:rPr>
          <w:rFonts w:hint="eastAsia" w:ascii="仿宋_GB2312" w:hAnsi="仿宋_GB2312" w:eastAsia="仿宋_GB2312" w:cs="仿宋_GB2312"/>
          <w:sz w:val="32"/>
          <w:szCs w:val="32"/>
        </w:rPr>
        <w:t>家重点企业申请技术中心认定、新引进高新技术企业补贴等政策。搭建创新交流平台，通过举办</w:t>
      </w:r>
      <w:r>
        <w:rPr>
          <w:rFonts w:hint="eastAsia" w:ascii="仿宋_GB2312" w:hAnsi="楷体_GB2312" w:eastAsia="仿宋_GB2312" w:cs="楷体_GB2312"/>
          <w:bCs/>
          <w:sz w:val="32"/>
          <w:szCs w:val="32"/>
        </w:rPr>
        <w:t>企业家沙龙、</w:t>
      </w:r>
      <w:r>
        <w:rPr>
          <w:rFonts w:hint="eastAsia" w:ascii="仿宋_GB2312" w:hAnsi="仿宋_GB2312" w:eastAsia="仿宋_GB2312" w:cs="仿宋_GB2312"/>
          <w:sz w:val="32"/>
          <w:szCs w:val="32"/>
        </w:rPr>
        <w:t>营商大会</w:t>
      </w:r>
      <w:r>
        <w:rPr>
          <w:rFonts w:hint="eastAsia" w:ascii="仿宋_GB2312" w:hAnsi="楷体_GB2312" w:eastAsia="仿宋_GB2312" w:cs="楷体_GB2312"/>
          <w:bCs/>
          <w:sz w:val="32"/>
          <w:szCs w:val="32"/>
        </w:rPr>
        <w:t>等主题活动</w:t>
      </w:r>
      <w:r>
        <w:rPr>
          <w:rFonts w:hint="eastAsia" w:ascii="仿宋_GB2312" w:hAnsi="仿宋_GB2312" w:eastAsia="仿宋_GB2312" w:cs="仿宋_GB2312"/>
          <w:sz w:val="32"/>
          <w:szCs w:val="32"/>
        </w:rPr>
        <w:t>，</w:t>
      </w:r>
      <w:r>
        <w:rPr>
          <w:rFonts w:hint="eastAsia" w:ascii="仿宋_GB2312" w:hAnsi="楷体_GB2312" w:eastAsia="仿宋_GB2312" w:cs="楷体_GB2312"/>
          <w:bCs/>
          <w:sz w:val="32"/>
          <w:szCs w:val="32"/>
        </w:rPr>
        <w:t>邀请上海中小企业服务专家为高新技术企业辅以案例进行政策解读，让企业切实享受到科创政策带来的福利。</w:t>
      </w:r>
      <w:r>
        <w:rPr>
          <w:rFonts w:hint="eastAsia" w:ascii="楷体_GB2312" w:eastAsia="楷体_GB2312"/>
          <w:bCs/>
          <w:sz w:val="32"/>
          <w:szCs w:val="32"/>
        </w:rPr>
        <w:t>（责任部门：营商环境办（财务管理办）、都市宝谊经济发展有限公司。完成时间：持续推进）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三、组织保障</w:t>
      </w:r>
    </w:p>
    <w:p>
      <w:pPr>
        <w:pStyle w:val="2"/>
        <w:ind w:firstLine="643"/>
        <w:rPr>
          <w:rFonts w:ascii="仿宋_GB2312"/>
          <w:b/>
        </w:rPr>
      </w:pPr>
      <w:r>
        <w:rPr>
          <w:rFonts w:ascii="仿宋_GB2312"/>
          <w:b/>
        </w:rPr>
        <w:t>1.</w:t>
      </w:r>
      <w:r>
        <w:rPr>
          <w:rFonts w:hint="eastAsia" w:ascii="仿宋_GB2312"/>
          <w:b/>
        </w:rPr>
        <w:t>成立领导小组</w:t>
      </w:r>
    </w:p>
    <w:p>
      <w:pPr>
        <w:pStyle w:val="2"/>
        <w:ind w:firstLine="640"/>
        <w:rPr>
          <w:rFonts w:ascii="仿宋_GB2312"/>
        </w:rPr>
      </w:pPr>
      <w:r>
        <w:rPr>
          <w:rFonts w:hint="eastAsia" w:ascii="仿宋_GB2312"/>
        </w:rPr>
        <w:t>成立友谊路街道数字化转型工作领导小组和工作专班，由街道党政主要领导担任双组长，分管信息化领导担任常务副组长兼领导小组办公室主任，其他条线分管领导担任副组长，街道各职能部门和基层站所主要负责人担任成员，形成“主要领导统筹抓，分管领导协调抓，业务部门具体抓”的工作格局，确保街道数字化转型工作落实、落地。</w:t>
      </w:r>
    </w:p>
    <w:p>
      <w:pPr>
        <w:pStyle w:val="2"/>
        <w:ind w:firstLine="643"/>
        <w:rPr>
          <w:rFonts w:ascii="仿宋_GB2312" w:cs="仿宋_GB2312"/>
          <w:b/>
          <w:bCs/>
        </w:rPr>
      </w:pPr>
      <w:r>
        <w:rPr>
          <w:rFonts w:ascii="仿宋_GB2312"/>
          <w:b/>
        </w:rPr>
        <w:t>2.</w:t>
      </w:r>
      <w:r>
        <w:rPr>
          <w:rFonts w:hint="eastAsia" w:ascii="仿宋_GB2312"/>
          <w:b/>
        </w:rPr>
        <w:t>加快推进实施</w:t>
      </w:r>
    </w:p>
    <w:p>
      <w:pPr>
        <w:pStyle w:val="2"/>
        <w:ind w:firstLine="643"/>
        <w:rPr>
          <w:rFonts w:ascii="仿宋_GB2312" w:cs="仿宋_GB2312"/>
        </w:rPr>
      </w:pPr>
      <w:r>
        <w:rPr>
          <w:rFonts w:hint="eastAsia" w:ascii="仿宋_GB2312" w:hAnsi="仿宋_GB2312" w:cs="仿宋_GB2312"/>
          <w:b/>
          <w:bCs/>
        </w:rPr>
        <w:t>（</w:t>
      </w:r>
      <w:r>
        <w:rPr>
          <w:rFonts w:ascii="仿宋_GB2312" w:hAnsi="仿宋_GB2312" w:cs="仿宋_GB2312"/>
          <w:b/>
          <w:bCs/>
        </w:rPr>
        <w:t>1</w:t>
      </w:r>
      <w:r>
        <w:rPr>
          <w:rFonts w:hint="eastAsia" w:ascii="仿宋_GB2312" w:hAnsi="仿宋_GB2312" w:cs="仿宋_GB2312"/>
          <w:b/>
          <w:bCs/>
        </w:rPr>
        <w:t>）建设推进阶段</w:t>
      </w:r>
      <w:r>
        <w:rPr>
          <w:rFonts w:hint="eastAsia" w:ascii="仿宋_GB2312" w:hAnsi="仿宋_GB2312" w:cs="仿宋_GB2312"/>
        </w:rPr>
        <w:t>：</w:t>
      </w:r>
      <w:r>
        <w:rPr>
          <w:rFonts w:ascii="Times New Roman" w:hAnsi="Times New Roman" w:cs="Times New Roman"/>
          <w:kern w:val="2"/>
        </w:rPr>
        <w:t>2021</w:t>
      </w:r>
      <w:r>
        <w:rPr>
          <w:rFonts w:hint="eastAsia" w:ascii="Times New Roman" w:hAnsi="Times New Roman" w:cs="Times New Roman"/>
          <w:kern w:val="2"/>
        </w:rPr>
        <w:t>年</w:t>
      </w:r>
      <w:r>
        <w:rPr>
          <w:rFonts w:ascii="Times New Roman" w:hAnsi="Times New Roman" w:cs="Times New Roman"/>
          <w:kern w:val="2"/>
        </w:rPr>
        <w:t>7</w:t>
      </w:r>
      <w:r>
        <w:rPr>
          <w:rFonts w:hint="eastAsia" w:ascii="Times New Roman" w:hAnsi="Times New Roman" w:cs="Times New Roman"/>
          <w:kern w:val="2"/>
        </w:rPr>
        <w:t>月</w:t>
      </w:r>
      <w:r>
        <w:rPr>
          <w:rFonts w:ascii="仿宋_GB2312" w:hAnsi="Times New Roman" w:cs="Times New Roman"/>
          <w:kern w:val="2"/>
        </w:rPr>
        <w:t>-</w:t>
      </w:r>
      <w:r>
        <w:rPr>
          <w:rFonts w:ascii="Times New Roman" w:hAnsi="Times New Roman" w:cs="Times New Roman"/>
          <w:kern w:val="2"/>
        </w:rPr>
        <w:t>9</w:t>
      </w:r>
      <w:r>
        <w:rPr>
          <w:rFonts w:hint="eastAsia" w:ascii="仿宋_GB2312" w:hAnsi="仿宋_GB2312" w:cs="仿宋_GB2312"/>
        </w:rPr>
        <w:t>月，各相关部门对各自领域涉及的数字化转型工作进行认真梳理排摸，积极开展调研，共同推进建设。</w:t>
      </w:r>
    </w:p>
    <w:p>
      <w:pPr>
        <w:pStyle w:val="2"/>
        <w:ind w:firstLine="643"/>
        <w:rPr>
          <w:rFonts w:ascii="仿宋_GB2312" w:cs="仿宋_GB2312"/>
        </w:rPr>
      </w:pPr>
      <w:r>
        <w:rPr>
          <w:rFonts w:hint="eastAsia" w:ascii="仿宋_GB2312" w:hAnsi="仿宋_GB2312" w:cs="仿宋_GB2312"/>
          <w:b/>
          <w:bCs/>
        </w:rPr>
        <w:t>（</w:t>
      </w:r>
      <w:r>
        <w:rPr>
          <w:rFonts w:ascii="仿宋_GB2312" w:hAnsi="仿宋_GB2312" w:cs="仿宋_GB2312"/>
          <w:b/>
          <w:bCs/>
        </w:rPr>
        <w:t>2</w:t>
      </w:r>
      <w:r>
        <w:rPr>
          <w:rFonts w:hint="eastAsia" w:ascii="仿宋_GB2312" w:hAnsi="仿宋_GB2312" w:cs="仿宋_GB2312"/>
          <w:b/>
          <w:bCs/>
        </w:rPr>
        <w:t>）成果展示阶段：</w:t>
      </w:r>
      <w:r>
        <w:rPr>
          <w:rFonts w:ascii="Times New Roman" w:hAnsi="Times New Roman" w:cs="Times New Roman"/>
          <w:kern w:val="2"/>
        </w:rPr>
        <w:t>2021</w:t>
      </w:r>
      <w:r>
        <w:rPr>
          <w:rFonts w:hint="eastAsia" w:ascii="Times New Roman" w:hAnsi="Times New Roman" w:cs="Times New Roman"/>
          <w:kern w:val="2"/>
        </w:rPr>
        <w:t>年</w:t>
      </w:r>
      <w:r>
        <w:rPr>
          <w:rFonts w:ascii="Times New Roman" w:hAnsi="Times New Roman" w:cs="Times New Roman"/>
          <w:kern w:val="2"/>
        </w:rPr>
        <w:t>10</w:t>
      </w:r>
      <w:r>
        <w:rPr>
          <w:rFonts w:hint="eastAsia" w:ascii="仿宋_GB2312" w:hAnsi="仿宋_GB2312" w:cs="仿宋_GB2312"/>
        </w:rPr>
        <w:t>月，完成智慧长滩街区目标任务、场景建设，进行集中展示运用。</w:t>
      </w:r>
    </w:p>
    <w:p>
      <w:pPr>
        <w:pStyle w:val="2"/>
        <w:ind w:firstLine="643"/>
        <w:rPr>
          <w:rFonts w:ascii="仿宋_GB2312" w:cs="仿宋_GB2312"/>
        </w:rPr>
      </w:pPr>
      <w:r>
        <w:rPr>
          <w:rFonts w:hint="eastAsia" w:ascii="仿宋_GB2312" w:hAnsi="仿宋_GB2312" w:cs="仿宋_GB2312"/>
          <w:b/>
          <w:bCs/>
        </w:rPr>
        <w:t>（</w:t>
      </w:r>
      <w:r>
        <w:rPr>
          <w:rFonts w:ascii="仿宋_GB2312" w:hAnsi="仿宋_GB2312" w:cs="仿宋_GB2312"/>
          <w:b/>
          <w:bCs/>
        </w:rPr>
        <w:t>3</w:t>
      </w:r>
      <w:r>
        <w:rPr>
          <w:rFonts w:hint="eastAsia" w:ascii="仿宋_GB2312" w:hAnsi="仿宋_GB2312" w:cs="仿宋_GB2312"/>
          <w:b/>
          <w:bCs/>
        </w:rPr>
        <w:t>）总结推广阶段：</w:t>
      </w:r>
      <w:r>
        <w:rPr>
          <w:rFonts w:ascii="Times New Roman" w:hAnsi="Times New Roman" w:cs="Times New Roman"/>
          <w:kern w:val="2"/>
        </w:rPr>
        <w:t>2022</w:t>
      </w:r>
      <w:r>
        <w:rPr>
          <w:rFonts w:hint="eastAsia" w:ascii="Times New Roman" w:hAnsi="Times New Roman" w:cs="Times New Roman"/>
          <w:kern w:val="2"/>
        </w:rPr>
        <w:t>年</w:t>
      </w:r>
      <w:r>
        <w:rPr>
          <w:rFonts w:ascii="仿宋_GB2312" w:hAnsi="Times New Roman" w:cs="Times New Roman"/>
          <w:kern w:val="2"/>
        </w:rPr>
        <w:t>-</w:t>
      </w:r>
      <w:r>
        <w:rPr>
          <w:rFonts w:ascii="Times New Roman" w:hAnsi="Times New Roman" w:cs="Times New Roman"/>
          <w:kern w:val="2"/>
        </w:rPr>
        <w:t>2023</w:t>
      </w:r>
      <w:r>
        <w:rPr>
          <w:rFonts w:hint="eastAsia" w:ascii="Times New Roman" w:hAnsi="Times New Roman" w:cs="Times New Roman"/>
          <w:kern w:val="2"/>
        </w:rPr>
        <w:t>年，</w:t>
      </w:r>
      <w:r>
        <w:rPr>
          <w:rFonts w:hint="eastAsia" w:ascii="仿宋_GB2312" w:hAnsi="仿宋_GB2312" w:cs="仿宋_GB2312"/>
        </w:rPr>
        <w:t>在工作开展过程中及时总结经验做法，形成可复制、可推广模式，提升显示度。</w:t>
      </w:r>
    </w:p>
    <w:p>
      <w:pPr>
        <w:pStyle w:val="2"/>
        <w:ind w:firstLine="643"/>
        <w:rPr>
          <w:rFonts w:ascii="仿宋_GB2312"/>
          <w:b/>
        </w:rPr>
      </w:pPr>
      <w:r>
        <w:rPr>
          <w:rFonts w:ascii="仿宋_GB2312"/>
          <w:b/>
        </w:rPr>
        <w:t>3.</w:t>
      </w:r>
      <w:r>
        <w:rPr>
          <w:rFonts w:hint="eastAsia" w:ascii="仿宋_GB2312"/>
          <w:b/>
        </w:rPr>
        <w:t>落实资金保障</w:t>
      </w:r>
    </w:p>
    <w:p>
      <w:pPr>
        <w:pStyle w:val="2"/>
        <w:ind w:firstLine="640"/>
        <w:rPr>
          <w:rFonts w:ascii="仿宋_GB2312" w:cs="仿宋_GB2312"/>
        </w:rPr>
      </w:pPr>
      <w:r>
        <w:rPr>
          <w:rFonts w:hint="eastAsia" w:ascii="仿宋_GB2312" w:hAnsi="仿宋_GB2312" w:cs="仿宋_GB2312"/>
        </w:rPr>
        <w:t>加大数字化转型工作经费保障力度，设立专项资金，落实长滩居委会办公用房及长滩社区公共服务活动空间装修改造、城运中心建设、“一网统管”应用场景开发、友谊云平台建设、两网融合服务点提升优化、“一网通办”自助终端设备安装等项目资金</w:t>
      </w:r>
      <w:r>
        <w:rPr>
          <w:rFonts w:ascii="Times New Roman" w:hAnsi="Times New Roman" w:cs="Times New Roman"/>
          <w:kern w:val="2"/>
        </w:rPr>
        <w:t>2000</w:t>
      </w:r>
      <w:r>
        <w:rPr>
          <w:rFonts w:hint="eastAsia" w:ascii="仿宋_GB2312" w:hAnsi="仿宋_GB2312" w:cs="仿宋_GB2312"/>
        </w:rPr>
        <w:t>余万元，加快各类项目启动建设，推动数字化转型提质增效。</w:t>
      </w:r>
    </w:p>
    <w:p>
      <w:pPr>
        <w:pStyle w:val="2"/>
        <w:ind w:firstLine="640"/>
        <w:rPr>
          <w:rFonts w:ascii="仿宋_GB2312" w:cs="仿宋_GB2312"/>
        </w:rPr>
      </w:pPr>
    </w:p>
    <w:p>
      <w:pPr>
        <w:pStyle w:val="2"/>
        <w:ind w:firstLine="0" w:firstLineChars="0"/>
        <w:rPr>
          <w:rFonts w:ascii="仿宋_GB2312" w:hAnsi="仿宋_GB2312" w:cs="仿宋_GB2312"/>
        </w:rPr>
      </w:pPr>
      <w:r>
        <w:rPr>
          <w:rFonts w:ascii="仿宋_GB2312" w:hAnsi="仿宋_GB2312" w:cs="仿宋_GB2312"/>
        </w:rPr>
        <w:t xml:space="preserve">    </w:t>
      </w:r>
      <w:r>
        <w:rPr>
          <w:rFonts w:hint="eastAsia" w:ascii="仿宋_GB2312" w:hAnsi="仿宋_GB2312" w:cs="仿宋_GB2312"/>
        </w:rPr>
        <w:t>附件：友谊路街道数字街区建设任务清单</w:t>
      </w:r>
    </w:p>
    <w:p>
      <w:pPr>
        <w:pStyle w:val="2"/>
        <w:ind w:firstLine="0" w:firstLineChars="0"/>
        <w:rPr>
          <w:rFonts w:ascii="仿宋_GB2312" w:hAnsi="仿宋_GB2312" w:cs="仿宋_GB2312"/>
        </w:rPr>
        <w:sectPr>
          <w:footerReference r:id="rId4" w:type="default"/>
          <w:pgSz w:w="11906" w:h="16838"/>
          <w:pgMar w:top="1418" w:right="1418" w:bottom="1418" w:left="1644" w:header="851" w:footer="992" w:gutter="0"/>
          <w:cols w:space="425" w:num="1"/>
          <w:docGrid w:type="lines" w:linePitch="312" w:charSpace="0"/>
        </w:sectPr>
      </w:pPr>
      <w:r>
        <w:rPr>
          <w:rFonts w:ascii="仿宋_GB2312" w:hAnsi="仿宋_GB2312" w:cs="仿宋_GB2312"/>
        </w:rPr>
        <w:br w:type="page"/>
      </w:r>
    </w:p>
    <w:tbl>
      <w:tblPr>
        <w:tblStyle w:val="9"/>
        <w:tblW w:w="14980" w:type="dxa"/>
        <w:tblInd w:w="93" w:type="dxa"/>
        <w:tblLayout w:type="fixed"/>
        <w:tblCellMar>
          <w:top w:w="0" w:type="dxa"/>
          <w:left w:w="108" w:type="dxa"/>
          <w:bottom w:w="0" w:type="dxa"/>
          <w:right w:w="108" w:type="dxa"/>
        </w:tblCellMar>
      </w:tblPr>
      <w:tblGrid>
        <w:gridCol w:w="1080"/>
        <w:gridCol w:w="2280"/>
        <w:gridCol w:w="7600"/>
        <w:gridCol w:w="2020"/>
        <w:gridCol w:w="2000"/>
      </w:tblGrid>
      <w:tr>
        <w:tblPrEx>
          <w:tblLayout w:type="fixed"/>
          <w:tblCellMar>
            <w:top w:w="0" w:type="dxa"/>
            <w:left w:w="108" w:type="dxa"/>
            <w:bottom w:w="0" w:type="dxa"/>
            <w:right w:w="108" w:type="dxa"/>
          </w:tblCellMar>
        </w:tblPrEx>
        <w:trPr>
          <w:trHeight w:val="762" w:hRule="atLeast"/>
        </w:trPr>
        <w:tc>
          <w:tcPr>
            <w:tcW w:w="14980" w:type="dxa"/>
            <w:gridSpan w:val="5"/>
            <w:tcBorders>
              <w:top w:val="nil"/>
              <w:left w:val="nil"/>
              <w:bottom w:val="nil"/>
              <w:right w:val="nil"/>
            </w:tcBorders>
            <w:shd w:val="clear" w:color="auto" w:fill="auto"/>
            <w:vAlign w:val="center"/>
          </w:tcPr>
          <w:p>
            <w:pPr>
              <w:widowControl/>
              <w:jc w:val="center"/>
              <w:rPr>
                <w:rFonts w:ascii="华文中宋" w:hAnsi="华文中宋" w:eastAsia="华文中宋" w:cs="宋体"/>
                <w:b/>
                <w:bCs/>
                <w:color w:val="000000"/>
                <w:kern w:val="0"/>
                <w:sz w:val="36"/>
                <w:szCs w:val="36"/>
              </w:rPr>
            </w:pPr>
            <w:r>
              <w:rPr>
                <w:rFonts w:hint="eastAsia" w:ascii="华文中宋" w:hAnsi="华文中宋" w:eastAsia="华文中宋" w:cs="宋体"/>
                <w:b/>
                <w:bCs/>
                <w:color w:val="000000"/>
                <w:kern w:val="0"/>
                <w:sz w:val="36"/>
                <w:szCs w:val="36"/>
              </w:rPr>
              <w:t>友谊路街道数字街区建设任务清单</w:t>
            </w:r>
          </w:p>
        </w:tc>
      </w:tr>
      <w:tr>
        <w:tblPrEx>
          <w:tblLayout w:type="fixed"/>
          <w:tblCellMar>
            <w:top w:w="0" w:type="dxa"/>
            <w:left w:w="108" w:type="dxa"/>
            <w:bottom w:w="0" w:type="dxa"/>
            <w:right w:w="108" w:type="dxa"/>
          </w:tblCellMar>
        </w:tblPrEx>
        <w:trPr>
          <w:trHeight w:val="72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数字化项目</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（应用场景）</w:t>
            </w:r>
          </w:p>
        </w:tc>
        <w:tc>
          <w:tcPr>
            <w:tcW w:w="7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满足的需求或解决的问题</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完成时限</w:t>
            </w:r>
          </w:p>
        </w:tc>
        <w:tc>
          <w:tcPr>
            <w:tcW w:w="2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责任部门</w:t>
            </w:r>
          </w:p>
        </w:tc>
      </w:tr>
      <w:tr>
        <w:tblPrEx>
          <w:tblLayout w:type="fixed"/>
          <w:tblCellMar>
            <w:top w:w="0" w:type="dxa"/>
            <w:left w:w="108" w:type="dxa"/>
            <w:bottom w:w="0" w:type="dxa"/>
            <w:right w:w="108" w:type="dxa"/>
          </w:tblCellMar>
        </w:tblPrEx>
        <w:trPr>
          <w:trHeight w:val="121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智慧公共客厅</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开发虚拟VR场景,打造集党群服务、文化艺术、教育培训、健康保健、娱乐休闲等功能为一体，覆盖社区老年、青年、儿童所需的数字化虚拟社区生活空间，让百姓足不出户体验公共服务的便捷性。</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2021年10月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社区自治办</w:t>
            </w:r>
          </w:p>
        </w:tc>
      </w:tr>
      <w:tr>
        <w:tblPrEx>
          <w:tblLayout w:type="fixed"/>
          <w:tblCellMar>
            <w:top w:w="0" w:type="dxa"/>
            <w:left w:w="108" w:type="dxa"/>
            <w:bottom w:w="0" w:type="dxa"/>
            <w:right w:w="108" w:type="dxa"/>
          </w:tblCellMar>
        </w:tblPrEx>
        <w:trPr>
          <w:trHeight w:val="20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“数智长滩”微信小程序</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集聚社区内及周边各种服务资源，实现公共活动空间场馆预约、线上专家门诊预约、智能管控不文明遛犬行为、社区活动报名、社区团购、社区信息动态查询、社区停车登记、缴费、周边商圈资讯、家政服务、心理咨询、法律咨询、为老服务、社区便民地图、社区意见征询等十余项便民、休闲、娱乐事项的查询预约服务功能，让社区居民轻松享受安全、便捷、幸福的智慧生活。</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2021年10月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社区自治办</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党政办（应急管理办）</w:t>
            </w:r>
          </w:p>
        </w:tc>
      </w:tr>
      <w:tr>
        <w:tblPrEx>
          <w:tblLayout w:type="fixed"/>
          <w:tblCellMar>
            <w:top w:w="0" w:type="dxa"/>
            <w:left w:w="108" w:type="dxa"/>
            <w:bottom w:w="0" w:type="dxa"/>
            <w:right w:w="108" w:type="dxa"/>
          </w:tblCellMar>
        </w:tblPrEx>
        <w:trPr>
          <w:trHeight w:val="18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智慧党建</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通过本项目将社区党群服务中心转化为数字化、科技化、专业化的社区基层智慧党群服务阵地。主要实现目标为：大屏形式展现街道社区党建工作动态，工作成果；发布下级党建活动及消息通知；收集汇总各下级党组织工作数据，为街道提供标准化、规范化数字应用平台；为后续“两网融合”大数据规划及工作创新提供新思路、新模式。</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2021年10月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社区党群服务中心</w:t>
            </w:r>
          </w:p>
        </w:tc>
      </w:tr>
      <w:tr>
        <w:tblPrEx>
          <w:tblLayout w:type="fixed"/>
          <w:tblCellMar>
            <w:top w:w="0" w:type="dxa"/>
            <w:left w:w="108" w:type="dxa"/>
            <w:bottom w:w="0" w:type="dxa"/>
            <w:right w:w="108" w:type="dxa"/>
          </w:tblCellMar>
        </w:tblPrEx>
        <w:trPr>
          <w:trHeight w:val="1099" w:hRule="atLeast"/>
        </w:trPr>
        <w:tc>
          <w:tcPr>
            <w:tcW w:w="1080" w:type="dxa"/>
            <w:tcBorders>
              <w:top w:val="nil"/>
              <w:left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智慧早餐</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发展“无人零售+智慧早餐”模式，引进早餐自助售卖机、无人取货柜等设备，提升早餐服务品质，让百姓享受经济、便捷的早餐体验。</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2021年10月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营商环境办（财务管理办）</w:t>
            </w:r>
          </w:p>
        </w:tc>
      </w:tr>
      <w:tr>
        <w:tblPrEx>
          <w:tblLayout w:type="fixed"/>
          <w:tblCellMar>
            <w:top w:w="0" w:type="dxa"/>
            <w:left w:w="108" w:type="dxa"/>
            <w:bottom w:w="0" w:type="dxa"/>
            <w:right w:w="108" w:type="dxa"/>
          </w:tblCellMar>
        </w:tblPrEx>
        <w:trPr>
          <w:trHeight w:val="11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智慧养老</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为社区内自理老年人、半自理老年人提供日间托管、健康小屋自助体质检测、老年助餐点、安康通平台数据监测、免费上网、网上养老顾问等智慧养老服务。</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2021年10月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社区服务办</w:t>
            </w:r>
          </w:p>
        </w:tc>
      </w:tr>
      <w:tr>
        <w:tblPrEx>
          <w:tblLayout w:type="fixed"/>
          <w:tblCellMar>
            <w:top w:w="0" w:type="dxa"/>
            <w:left w:w="108" w:type="dxa"/>
            <w:bottom w:w="0" w:type="dxa"/>
            <w:right w:w="108" w:type="dxa"/>
          </w:tblCellMar>
        </w:tblPrEx>
        <w:trPr>
          <w:trHeight w:val="23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未来医院</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拓展社区卫生服务站功能，以数字化医疗服务场景有机结合互联网医院、远程医疗交互、机器人智能引导、健康体征自助检测、智能取药柜等一系列数字化医疗新举措，建立7×24小时无人医疗服务体系，提供统一准入初筛、远程问诊咨询、在线复诊、智能引导、智能诊疗、健康自测、自助取药等完整闭环的一体化自助式医疗服务场景，打造无人智慧医疗服务新模式，提升社区医疗精准服务水平，促进居民便捷就医。</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2021年10月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社区卫生服务中心</w:t>
            </w:r>
          </w:p>
        </w:tc>
      </w:tr>
      <w:tr>
        <w:tblPrEx>
          <w:tblLayout w:type="fixed"/>
          <w:tblCellMar>
            <w:top w:w="0" w:type="dxa"/>
            <w:left w:w="108" w:type="dxa"/>
            <w:bottom w:w="0" w:type="dxa"/>
            <w:right w:w="108" w:type="dxa"/>
          </w:tblCellMar>
        </w:tblPrEx>
        <w:trPr>
          <w:trHeight w:val="109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智慧物业</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将移动互联网及物联网统一结合，以数字安防、呼叫中心为基础，构建智能物业服务平台，改变业主生活体验，引领社区生活方式的蝶变。</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2021年10月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城建中心</w:t>
            </w:r>
          </w:p>
        </w:tc>
      </w:tr>
      <w:tr>
        <w:tblPrEx>
          <w:tblLayout w:type="fixed"/>
          <w:tblCellMar>
            <w:top w:w="0" w:type="dxa"/>
            <w:left w:w="108" w:type="dxa"/>
            <w:bottom w:w="0" w:type="dxa"/>
            <w:right w:w="108" w:type="dxa"/>
          </w:tblCellMar>
        </w:tblPrEx>
        <w:trPr>
          <w:trHeight w:val="8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宝山八村智能垃圾箱房</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智能识别、智能投放、智能监督。</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2021年10月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城建中心</w:t>
            </w:r>
          </w:p>
        </w:tc>
      </w:tr>
      <w:tr>
        <w:tblPrEx>
          <w:tblLayout w:type="fixed"/>
          <w:tblCellMar>
            <w:top w:w="0" w:type="dxa"/>
            <w:left w:w="108" w:type="dxa"/>
            <w:bottom w:w="0" w:type="dxa"/>
            <w:right w:w="108" w:type="dxa"/>
          </w:tblCellMar>
        </w:tblPrEx>
        <w:trPr>
          <w:trHeight w:val="7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友谊“两网融合”体系数字赋能</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物连溯源，实现“小区-中转站-末端处置厂”闭环管理。</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2021年10月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城建中心</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数字加梯</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实现加装电梯线上征询、工程可视化管理等。</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2021年10月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城建中心</w:t>
            </w:r>
          </w:p>
        </w:tc>
      </w:tr>
      <w:tr>
        <w:tblPrEx>
          <w:tblLayout w:type="fixed"/>
          <w:tblCellMar>
            <w:top w:w="0" w:type="dxa"/>
            <w:left w:w="108" w:type="dxa"/>
            <w:bottom w:w="0" w:type="dxa"/>
            <w:right w:w="108" w:type="dxa"/>
          </w:tblCellMar>
        </w:tblPrEx>
        <w:trPr>
          <w:trHeight w:val="21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“友谊市民智慧停车”小程序</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通过智能停车设施、ETC不停车收费系统建设与诱导系统，利用线上线下相结合的形式为周边居民与消费者提供实时动态的空位查询与车流量诱导信息，最大限度缓解商业与社区周边尤其是在晚间与周末时段车流拥堵现象，减少交通压力，并创造错峰停车的格局，充分且合理地利用好社区与商业的停车资源。</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2021年8月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社区自治办</w:t>
            </w:r>
          </w:p>
        </w:tc>
      </w:tr>
      <w:tr>
        <w:tblPrEx>
          <w:tblLayout w:type="fixed"/>
          <w:tblCellMar>
            <w:top w:w="0" w:type="dxa"/>
            <w:left w:w="108" w:type="dxa"/>
            <w:bottom w:w="0" w:type="dxa"/>
            <w:right w:w="108" w:type="dxa"/>
          </w:tblCellMar>
        </w:tblPrEx>
        <w:trPr>
          <w:trHeight w:val="10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“一网通办”自助服务终端</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安装长滩社区、宝莲城楼宇“一网通办”自助服务终端，实现24小时政务服务“不打烊”，满足企业、居民随时随地办事需求。</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2021年10月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社区事务受理服务中心</w:t>
            </w:r>
          </w:p>
        </w:tc>
      </w:tr>
      <w:tr>
        <w:tblPrEx>
          <w:tblLayout w:type="fixed"/>
          <w:tblCellMar>
            <w:top w:w="0" w:type="dxa"/>
            <w:left w:w="108" w:type="dxa"/>
            <w:bottom w:w="0" w:type="dxa"/>
            <w:right w:w="108" w:type="dxa"/>
          </w:tblCellMar>
        </w:tblPrEx>
        <w:trPr>
          <w:trHeight w:val="10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“证码合一”数字化办事场景建设</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建设“刷身份证-健康码实时显示-绿码取号（非绿码不取号）-窗口办事”的一体化快捷流程，提高办事效能，改善居民办事体验。</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2021年10月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社区事务受理服务中心</w:t>
            </w:r>
          </w:p>
        </w:tc>
      </w:tr>
      <w:tr>
        <w:tblPrEx>
          <w:tblLayout w:type="fixed"/>
          <w:tblCellMar>
            <w:top w:w="0" w:type="dxa"/>
            <w:left w:w="108" w:type="dxa"/>
            <w:bottom w:w="0" w:type="dxa"/>
            <w:right w:w="108" w:type="dxa"/>
          </w:tblCellMar>
        </w:tblPrEx>
        <w:trPr>
          <w:trHeight w:val="70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城运中心</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（数字中心）</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建成街道城运中心，运用最新的云计算、大数据等高科技手段,打造全覆盖、全天候的“城市智慧大脑”。</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2021年10月底</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社区平安办</w:t>
            </w:r>
          </w:p>
        </w:tc>
      </w:tr>
      <w:tr>
        <w:tblPrEx>
          <w:tblLayout w:type="fixed"/>
          <w:tblCellMar>
            <w:top w:w="0" w:type="dxa"/>
            <w:left w:w="108" w:type="dxa"/>
            <w:bottom w:w="0" w:type="dxa"/>
            <w:right w:w="108" w:type="dxa"/>
          </w:tblCellMar>
        </w:tblPrEx>
        <w:trPr>
          <w:trHeight w:val="12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智慧眼综合管理平台</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整合条线数据资源以及业务，使城运中心能及时掌握社区运行整体态势，利用平台易用性和扩展性强等特点，实现场景展示、数据汇聚、搜索查询等功能，促进业务融合，进一步推进城市治理的各项工作有序开展。</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2021年10月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城运中心</w:t>
            </w:r>
          </w:p>
        </w:tc>
      </w:tr>
      <w:tr>
        <w:tblPrEx>
          <w:tblLayout w:type="fixed"/>
          <w:tblCellMar>
            <w:top w:w="0" w:type="dxa"/>
            <w:left w:w="108" w:type="dxa"/>
            <w:bottom w:w="0" w:type="dxa"/>
            <w:right w:w="108" w:type="dxa"/>
          </w:tblCellMar>
        </w:tblPrEx>
        <w:trPr>
          <w:trHeight w:val="109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智慧云梯</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精确阻止电瓶车进入电梯，且能自主发现电梯内各类故障，接入城运“一网统管”大屏后可运用智能感知设备实现自动派单，形成闭环管理流程。</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2021年10月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城运中心</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17</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鹰眼设备</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通过在辖区内的高点位安装鹰眼设备，实时监测整个辖区异常行为和警情，快速处置城市顽疾问题。</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2021年12月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城运中心</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18</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小区智慧云台接入</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通过交换机和已有的光纤线路，将84个小区内物业探头接入城运中心，实现一屏观全域，一网管全域。</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2021年12月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城运中心</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19</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非机动车整治应用场景</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通过安装智能探头，实现对非机动车、共享单车乱停放现象的即时语音提示警告和工单派转。</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2021年10月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城运中心</w:t>
            </w:r>
          </w:p>
        </w:tc>
      </w:tr>
      <w:tr>
        <w:tblPrEx>
          <w:tblLayout w:type="fixed"/>
          <w:tblCellMar>
            <w:top w:w="0" w:type="dxa"/>
            <w:left w:w="108" w:type="dxa"/>
            <w:bottom w:w="0" w:type="dxa"/>
            <w:right w:w="108" w:type="dxa"/>
          </w:tblCellMar>
        </w:tblPrEx>
        <w:trPr>
          <w:trHeight w:val="9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跨门经营治理应用场景</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及时监测占道经营行为，实现对占道经营现象的实时预警、现场实时视频推送、工单转派和事件处置，降低占道经营发生频率。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2021年10月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城运中心</w:t>
            </w:r>
          </w:p>
        </w:tc>
      </w:tr>
      <w:tr>
        <w:tblPrEx>
          <w:tblLayout w:type="fixed"/>
          <w:tblCellMar>
            <w:top w:w="0" w:type="dxa"/>
            <w:left w:w="108" w:type="dxa"/>
            <w:bottom w:w="0" w:type="dxa"/>
            <w:right w:w="108" w:type="dxa"/>
          </w:tblCellMar>
        </w:tblPrEx>
        <w:trPr>
          <w:trHeight w:val="85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21</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移动取证系统</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扩展智能取证方式方法，便于留存执法证据，对接城运大屏后可实现远程指挥调度、执法取证、集群对讲等功能。</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2021年10月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城运中心</w:t>
            </w:r>
          </w:p>
        </w:tc>
      </w:tr>
      <w:tr>
        <w:tblPrEx>
          <w:tblLayout w:type="fixed"/>
          <w:tblCellMar>
            <w:top w:w="0" w:type="dxa"/>
            <w:left w:w="108" w:type="dxa"/>
            <w:bottom w:w="0" w:type="dxa"/>
            <w:right w:w="108" w:type="dxa"/>
          </w:tblCellMar>
        </w:tblPrEx>
        <w:trPr>
          <w:trHeight w:val="7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电气灭弧</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对老旧小区居民生活的用电安全进行实时监测采集，发生异常后第一时刻进行自动预警，推送至城运中心。</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2021年10月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城运中心</w:t>
            </w:r>
          </w:p>
        </w:tc>
      </w:tr>
      <w:tr>
        <w:tblPrEx>
          <w:tblLayout w:type="fixed"/>
          <w:tblCellMar>
            <w:top w:w="0" w:type="dxa"/>
            <w:left w:w="108" w:type="dxa"/>
            <w:bottom w:w="0" w:type="dxa"/>
            <w:right w:w="108" w:type="dxa"/>
          </w:tblCellMar>
        </w:tblPrEx>
        <w:trPr>
          <w:trHeight w:val="196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社会面综合管理系统</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借助公安系统在街面上的智慧门牌系统开发功能模块，涵盖社会面门责单位的市容市貌、门责、垃圾分类、食品安全、店招店牌、装修装饰等日常检查整改功能，实现门责单位信息实时掌握，监管部门实时管理。同时，利用数据分析平台将海量的数据进行收集、分析、统计，掌握社会面综合管理共性问题，及时研究并快速响应，提高综合管理工作效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2021年12月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管理办、城运中心、综合执法队</w:t>
            </w:r>
          </w:p>
        </w:tc>
      </w:tr>
      <w:tr>
        <w:tblPrEx>
          <w:tblLayout w:type="fixed"/>
          <w:tblCellMar>
            <w:top w:w="0" w:type="dxa"/>
            <w:left w:w="108" w:type="dxa"/>
            <w:bottom w:w="0" w:type="dxa"/>
            <w:right w:w="108" w:type="dxa"/>
          </w:tblCellMar>
        </w:tblPrEx>
        <w:trPr>
          <w:trHeight w:val="153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“友谊云”社区管理信息平台</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建立街道动态更新的人口库和人员信息的标签化体系，精准提供本地人房数据库，实现实有人口“一网更新”、基础材料“一网查询”、综合数据“一网分析”。二期开发增加走访管理、民情日志功能，优化大屏展示、数据采集、数据管理、政策法规检索等功能，进一步提高社区精细化治理水平。</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2021年8月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社区自治办</w:t>
            </w:r>
          </w:p>
        </w:tc>
      </w:tr>
      <w:tr>
        <w:tblPrEx>
          <w:tblLayout w:type="fixed"/>
          <w:tblCellMar>
            <w:top w:w="0" w:type="dxa"/>
            <w:left w:w="108" w:type="dxa"/>
            <w:bottom w:w="0" w:type="dxa"/>
            <w:right w:w="108" w:type="dxa"/>
          </w:tblCellMar>
        </w:tblPrEx>
        <w:trPr>
          <w:trHeight w:val="13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25</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“社区通”平台</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深化“社区通”应用，让其成为收集社情民意、引导群众参与自治的重要平台。利用开放式的网络平台、实时互动的对话窗口、多元化的信息传播，落实广大居民的知情权、参与权、表达权、监督权，推进民主决策的制度化、规范化。</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2021年10月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社区自治办</w:t>
            </w:r>
          </w:p>
        </w:tc>
      </w:tr>
      <w:tr>
        <w:tblPrEx>
          <w:tblLayout w:type="fixed"/>
          <w:tblCellMar>
            <w:top w:w="0" w:type="dxa"/>
            <w:left w:w="108" w:type="dxa"/>
            <w:bottom w:w="0" w:type="dxa"/>
            <w:right w:w="108" w:type="dxa"/>
          </w:tblCellMar>
        </w:tblPrEx>
        <w:trPr>
          <w:trHeight w:val="13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26</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“智慧营商数据服务通”小程序</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建立企业库、资源库、项目库、载体库、政策直达、政策解读、问题反馈等功能板块，打造企业信息“一键查”、街道资源“一点通”、惠企政策“一把尺”的友谊特色信息化系统，以“互联网+企业+服务”的理念打通政企衔接壁垒，形成服务闭环。</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2021年12月</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营商环境办（财务管理办）</w:t>
            </w:r>
          </w:p>
        </w:tc>
      </w:tr>
    </w:tbl>
    <w:p>
      <w:pPr>
        <w:pStyle w:val="2"/>
        <w:ind w:firstLine="0" w:firstLineChars="0"/>
        <w:rPr>
          <w:rFonts w:ascii="仿宋_GB2312" w:cs="仿宋_GB2312"/>
        </w:rPr>
      </w:pPr>
    </w:p>
    <w:sectPr>
      <w:pgSz w:w="16838" w:h="11906" w:orient="landscape"/>
      <w:pgMar w:top="1644" w:right="1418"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10</w:t>
    </w:r>
    <w:r>
      <w:rPr>
        <w:lang w:val="zh-CN"/>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pPr>
      <w:r>
        <w:rPr>
          <w:rStyle w:val="8"/>
        </w:rPr>
        <w:footnoteRef/>
      </w:r>
      <w:r>
        <w:rPr>
          <w:rFonts w:hint="eastAsia"/>
        </w:rPr>
        <w:t>一个数据中心：以城运中心为平台，以“一网统管”平台为核心，统筹各应用场景、多系统数据，建立统一的数据中心，由城运中心统管。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BEE"/>
    <w:rsid w:val="00005896"/>
    <w:rsid w:val="00011B42"/>
    <w:rsid w:val="00015DCD"/>
    <w:rsid w:val="00015EF9"/>
    <w:rsid w:val="00031869"/>
    <w:rsid w:val="0005118C"/>
    <w:rsid w:val="0005372A"/>
    <w:rsid w:val="0006653C"/>
    <w:rsid w:val="00074BA4"/>
    <w:rsid w:val="000D2F71"/>
    <w:rsid w:val="00150633"/>
    <w:rsid w:val="001622BD"/>
    <w:rsid w:val="00191C5F"/>
    <w:rsid w:val="0019281B"/>
    <w:rsid w:val="001A42D0"/>
    <w:rsid w:val="001A5199"/>
    <w:rsid w:val="001C7039"/>
    <w:rsid w:val="002104DC"/>
    <w:rsid w:val="00212835"/>
    <w:rsid w:val="00241C63"/>
    <w:rsid w:val="002456F4"/>
    <w:rsid w:val="00254325"/>
    <w:rsid w:val="00263FE5"/>
    <w:rsid w:val="002733ED"/>
    <w:rsid w:val="002761A7"/>
    <w:rsid w:val="002821B5"/>
    <w:rsid w:val="00282490"/>
    <w:rsid w:val="00291D27"/>
    <w:rsid w:val="00293613"/>
    <w:rsid w:val="0029592E"/>
    <w:rsid w:val="002A49CE"/>
    <w:rsid w:val="002F75C4"/>
    <w:rsid w:val="0030363A"/>
    <w:rsid w:val="00310754"/>
    <w:rsid w:val="00325E85"/>
    <w:rsid w:val="00355DF0"/>
    <w:rsid w:val="00363AB3"/>
    <w:rsid w:val="0036451D"/>
    <w:rsid w:val="003A5AAE"/>
    <w:rsid w:val="003D4E53"/>
    <w:rsid w:val="003E4F96"/>
    <w:rsid w:val="003F1323"/>
    <w:rsid w:val="003F545D"/>
    <w:rsid w:val="00414561"/>
    <w:rsid w:val="00424A9D"/>
    <w:rsid w:val="00427295"/>
    <w:rsid w:val="004755CF"/>
    <w:rsid w:val="0049596D"/>
    <w:rsid w:val="004964D1"/>
    <w:rsid w:val="00497D50"/>
    <w:rsid w:val="004C4B3B"/>
    <w:rsid w:val="004D3E16"/>
    <w:rsid w:val="004D5337"/>
    <w:rsid w:val="004D5E1D"/>
    <w:rsid w:val="004E099B"/>
    <w:rsid w:val="004F494B"/>
    <w:rsid w:val="00517255"/>
    <w:rsid w:val="00532F77"/>
    <w:rsid w:val="005564EA"/>
    <w:rsid w:val="005734F9"/>
    <w:rsid w:val="005742C1"/>
    <w:rsid w:val="00575290"/>
    <w:rsid w:val="00584469"/>
    <w:rsid w:val="00590E35"/>
    <w:rsid w:val="0059390F"/>
    <w:rsid w:val="005974CE"/>
    <w:rsid w:val="005B4B56"/>
    <w:rsid w:val="005D5AA3"/>
    <w:rsid w:val="005D6E83"/>
    <w:rsid w:val="005D74B4"/>
    <w:rsid w:val="005E2F7B"/>
    <w:rsid w:val="005F7459"/>
    <w:rsid w:val="00610B71"/>
    <w:rsid w:val="00652039"/>
    <w:rsid w:val="00653291"/>
    <w:rsid w:val="00654A14"/>
    <w:rsid w:val="00666649"/>
    <w:rsid w:val="006D4C42"/>
    <w:rsid w:val="006E207B"/>
    <w:rsid w:val="006E4E53"/>
    <w:rsid w:val="006F058B"/>
    <w:rsid w:val="006F5FC3"/>
    <w:rsid w:val="007003A6"/>
    <w:rsid w:val="00720C4B"/>
    <w:rsid w:val="00725227"/>
    <w:rsid w:val="00731576"/>
    <w:rsid w:val="00761850"/>
    <w:rsid w:val="007714D3"/>
    <w:rsid w:val="00781BD1"/>
    <w:rsid w:val="007B6737"/>
    <w:rsid w:val="0080172D"/>
    <w:rsid w:val="00817303"/>
    <w:rsid w:val="00817776"/>
    <w:rsid w:val="008478EE"/>
    <w:rsid w:val="0085210B"/>
    <w:rsid w:val="00874226"/>
    <w:rsid w:val="00875B06"/>
    <w:rsid w:val="008B5F85"/>
    <w:rsid w:val="008B672F"/>
    <w:rsid w:val="008C0A9A"/>
    <w:rsid w:val="008C5FF8"/>
    <w:rsid w:val="008D65C4"/>
    <w:rsid w:val="00903137"/>
    <w:rsid w:val="00911F6C"/>
    <w:rsid w:val="00940709"/>
    <w:rsid w:val="00960DB7"/>
    <w:rsid w:val="009653E5"/>
    <w:rsid w:val="009733E4"/>
    <w:rsid w:val="0099158F"/>
    <w:rsid w:val="00995BB3"/>
    <w:rsid w:val="009A36A4"/>
    <w:rsid w:val="009E749C"/>
    <w:rsid w:val="00A0043C"/>
    <w:rsid w:val="00A237B3"/>
    <w:rsid w:val="00A24535"/>
    <w:rsid w:val="00A311A3"/>
    <w:rsid w:val="00A34467"/>
    <w:rsid w:val="00A4268B"/>
    <w:rsid w:val="00A6103B"/>
    <w:rsid w:val="00A65A3E"/>
    <w:rsid w:val="00A72928"/>
    <w:rsid w:val="00A8470B"/>
    <w:rsid w:val="00AB7CC2"/>
    <w:rsid w:val="00AC6BEE"/>
    <w:rsid w:val="00B1566D"/>
    <w:rsid w:val="00B158B1"/>
    <w:rsid w:val="00B241D1"/>
    <w:rsid w:val="00B61591"/>
    <w:rsid w:val="00B70E11"/>
    <w:rsid w:val="00B73B42"/>
    <w:rsid w:val="00B74886"/>
    <w:rsid w:val="00B80536"/>
    <w:rsid w:val="00B81864"/>
    <w:rsid w:val="00B94E1F"/>
    <w:rsid w:val="00BA1B10"/>
    <w:rsid w:val="00BA5BBB"/>
    <w:rsid w:val="00BB5B10"/>
    <w:rsid w:val="00BC5D29"/>
    <w:rsid w:val="00BD42EE"/>
    <w:rsid w:val="00C00165"/>
    <w:rsid w:val="00C04085"/>
    <w:rsid w:val="00C4088B"/>
    <w:rsid w:val="00C54E5F"/>
    <w:rsid w:val="00C6475C"/>
    <w:rsid w:val="00C6616B"/>
    <w:rsid w:val="00C67349"/>
    <w:rsid w:val="00CA2874"/>
    <w:rsid w:val="00CA3F18"/>
    <w:rsid w:val="00CB4665"/>
    <w:rsid w:val="00CD240A"/>
    <w:rsid w:val="00CD5FE6"/>
    <w:rsid w:val="00CF2C27"/>
    <w:rsid w:val="00CF7F97"/>
    <w:rsid w:val="00D03ABA"/>
    <w:rsid w:val="00D05A56"/>
    <w:rsid w:val="00D1063F"/>
    <w:rsid w:val="00D11E98"/>
    <w:rsid w:val="00D250D4"/>
    <w:rsid w:val="00D2663F"/>
    <w:rsid w:val="00D279D6"/>
    <w:rsid w:val="00D30F4F"/>
    <w:rsid w:val="00D4341D"/>
    <w:rsid w:val="00D46BB1"/>
    <w:rsid w:val="00D83BC2"/>
    <w:rsid w:val="00D9234B"/>
    <w:rsid w:val="00D948C3"/>
    <w:rsid w:val="00DB1CCF"/>
    <w:rsid w:val="00DC5F22"/>
    <w:rsid w:val="00DD1FFA"/>
    <w:rsid w:val="00E03406"/>
    <w:rsid w:val="00E073E3"/>
    <w:rsid w:val="00E147F7"/>
    <w:rsid w:val="00E231B5"/>
    <w:rsid w:val="00E329BF"/>
    <w:rsid w:val="00E37EA0"/>
    <w:rsid w:val="00E46058"/>
    <w:rsid w:val="00E5650A"/>
    <w:rsid w:val="00E705A2"/>
    <w:rsid w:val="00E772C8"/>
    <w:rsid w:val="00E91449"/>
    <w:rsid w:val="00E95786"/>
    <w:rsid w:val="00E97F11"/>
    <w:rsid w:val="00EA0226"/>
    <w:rsid w:val="00EB293A"/>
    <w:rsid w:val="00EE30F4"/>
    <w:rsid w:val="00EF3774"/>
    <w:rsid w:val="00F000C9"/>
    <w:rsid w:val="00F01584"/>
    <w:rsid w:val="00F07E3D"/>
    <w:rsid w:val="00F26360"/>
    <w:rsid w:val="00F27A98"/>
    <w:rsid w:val="00F37309"/>
    <w:rsid w:val="00F61C6F"/>
    <w:rsid w:val="00F67A3B"/>
    <w:rsid w:val="00FF0FB9"/>
    <w:rsid w:val="03D53FA2"/>
    <w:rsid w:val="23E37DAD"/>
    <w:rsid w:val="288A4772"/>
    <w:rsid w:val="2AE56F13"/>
    <w:rsid w:val="31513370"/>
    <w:rsid w:val="39983400"/>
    <w:rsid w:val="3A0F0F11"/>
    <w:rsid w:val="3A79023B"/>
    <w:rsid w:val="3BF825B9"/>
    <w:rsid w:val="3E800A82"/>
    <w:rsid w:val="40D42C3D"/>
    <w:rsid w:val="45101F37"/>
    <w:rsid w:val="4BB453E5"/>
    <w:rsid w:val="4BE1281E"/>
    <w:rsid w:val="4D1B725A"/>
    <w:rsid w:val="4F9137FB"/>
    <w:rsid w:val="51840791"/>
    <w:rsid w:val="5DE775A9"/>
    <w:rsid w:val="66B527D8"/>
    <w:rsid w:val="7A8E59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0"/>
    <w:uiPriority w:val="99"/>
    <w:pPr>
      <w:spacing w:line="560" w:lineRule="exact"/>
      <w:ind w:firstLine="641" w:firstLineChars="200"/>
    </w:pPr>
    <w:rPr>
      <w:rFonts w:eastAsia="仿宋_GB2312" w:cs="宋体"/>
      <w:kern w:val="0"/>
      <w:sz w:val="32"/>
      <w:szCs w:val="32"/>
    </w:rPr>
  </w:style>
  <w:style w:type="paragraph" w:styleId="3">
    <w:name w:val="Balloon Text"/>
    <w:basedOn w:val="1"/>
    <w:link w:val="11"/>
    <w:semiHidden/>
    <w:uiPriority w:val="99"/>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4"/>
    <w:semiHidden/>
    <w:qFormat/>
    <w:uiPriority w:val="99"/>
    <w:pPr>
      <w:snapToGrid w:val="0"/>
      <w:jc w:val="left"/>
    </w:pPr>
    <w:rPr>
      <w:sz w:val="18"/>
      <w:szCs w:val="18"/>
    </w:rPr>
  </w:style>
  <w:style w:type="character" w:styleId="8">
    <w:name w:val="footnote reference"/>
    <w:semiHidden/>
    <w:qFormat/>
    <w:uiPriority w:val="99"/>
    <w:rPr>
      <w:rFonts w:cs="Times New Roman"/>
      <w:vertAlign w:val="superscript"/>
    </w:rPr>
  </w:style>
  <w:style w:type="character" w:customStyle="1" w:styleId="10">
    <w:name w:val="正文文本 Char"/>
    <w:link w:val="2"/>
    <w:locked/>
    <w:uiPriority w:val="99"/>
    <w:rPr>
      <w:rFonts w:ascii="Calibri" w:hAnsi="Calibri" w:eastAsia="仿宋_GB2312" w:cs="宋体"/>
      <w:snapToGrid w:val="0"/>
      <w:kern w:val="0"/>
      <w:sz w:val="32"/>
      <w:szCs w:val="32"/>
    </w:rPr>
  </w:style>
  <w:style w:type="character" w:customStyle="1" w:styleId="11">
    <w:name w:val="批注框文本 Char"/>
    <w:link w:val="3"/>
    <w:semiHidden/>
    <w:locked/>
    <w:uiPriority w:val="99"/>
    <w:rPr>
      <w:rFonts w:cs="Times New Roman"/>
      <w:sz w:val="18"/>
      <w:szCs w:val="18"/>
    </w:rPr>
  </w:style>
  <w:style w:type="character" w:customStyle="1" w:styleId="12">
    <w:name w:val="页脚 Char"/>
    <w:link w:val="4"/>
    <w:qFormat/>
    <w:locked/>
    <w:uiPriority w:val="99"/>
    <w:rPr>
      <w:rFonts w:ascii="Calibri" w:hAnsi="Calibri" w:eastAsia="宋体" w:cs="Times New Roman"/>
      <w:kern w:val="2"/>
      <w:sz w:val="18"/>
      <w:szCs w:val="18"/>
    </w:rPr>
  </w:style>
  <w:style w:type="character" w:customStyle="1" w:styleId="13">
    <w:name w:val="页眉 Char"/>
    <w:link w:val="5"/>
    <w:qFormat/>
    <w:locked/>
    <w:uiPriority w:val="99"/>
    <w:rPr>
      <w:rFonts w:ascii="Calibri" w:hAnsi="Calibri" w:eastAsia="宋体" w:cs="Times New Roman"/>
      <w:kern w:val="2"/>
      <w:sz w:val="18"/>
      <w:szCs w:val="18"/>
    </w:rPr>
  </w:style>
  <w:style w:type="character" w:customStyle="1" w:styleId="14">
    <w:name w:val="脚注文本 Char"/>
    <w:link w:val="6"/>
    <w:semiHidden/>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1137</Words>
  <Characters>6482</Characters>
  <Lines>54</Lines>
  <Paragraphs>15</Paragraphs>
  <TotalTime>21</TotalTime>
  <ScaleCrop>false</ScaleCrop>
  <LinksUpToDate>false</LinksUpToDate>
  <CharactersWithSpaces>7604</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2021-07-20T13:10:00Z</dcterms:created>
  <dc:creator>陈虹(陈虹:拟办)</dc:creator>
  <cp:lastModifiedBy>陈晔(陈晔:登记)</cp:lastModifiedBy>
  <cp:lastPrinted>2021-07-19T09:24:00Z</cp:lastPrinted>
  <dcterms:modified xsi:type="dcterms:W3CDTF">2021-08-31T00:47:43Z</dcterms:modified>
  <dc:title>友谊路街道</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